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39" w:rsidRDefault="00997B39" w:rsidP="00997B39">
      <w:pPr>
        <w:pStyle w:val="a4"/>
        <w:jc w:val="center"/>
        <w:rPr>
          <w:b/>
          <w:sz w:val="24"/>
          <w:szCs w:val="24"/>
        </w:rPr>
      </w:pPr>
      <w:r>
        <w:rPr>
          <w:b/>
          <w:sz w:val="24"/>
          <w:szCs w:val="24"/>
        </w:rPr>
        <w:t>ДО УВАГИ АКЦІОНЕРІВ</w:t>
      </w:r>
    </w:p>
    <w:p w:rsidR="00997B39" w:rsidRDefault="00997B39" w:rsidP="00997B39">
      <w:pPr>
        <w:pStyle w:val="a4"/>
        <w:jc w:val="center"/>
        <w:rPr>
          <w:b/>
          <w:sz w:val="24"/>
          <w:szCs w:val="24"/>
        </w:rPr>
      </w:pPr>
      <w:r>
        <w:rPr>
          <w:b/>
          <w:sz w:val="24"/>
          <w:szCs w:val="24"/>
        </w:rPr>
        <w:t>ПрАТ «</w:t>
      </w:r>
      <w:r w:rsidRPr="00FD25B5">
        <w:rPr>
          <w:b/>
          <w:noProof/>
          <w:sz w:val="24"/>
          <w:szCs w:val="24"/>
        </w:rPr>
        <w:t>Ніжинська меблева фабрика</w:t>
      </w:r>
      <w:r>
        <w:rPr>
          <w:b/>
          <w:sz w:val="24"/>
          <w:szCs w:val="24"/>
        </w:rPr>
        <w:t>»</w:t>
      </w:r>
    </w:p>
    <w:p w:rsidR="00997B39" w:rsidRDefault="00997B39" w:rsidP="00997B39">
      <w:pPr>
        <w:pStyle w:val="a4"/>
        <w:jc w:val="center"/>
        <w:rPr>
          <w:b/>
          <w:sz w:val="24"/>
          <w:szCs w:val="24"/>
        </w:rPr>
      </w:pPr>
      <w:r>
        <w:rPr>
          <w:b/>
          <w:sz w:val="24"/>
          <w:szCs w:val="24"/>
        </w:rPr>
        <w:t>(код за ЄДРПОУ 05516240 )</w:t>
      </w:r>
    </w:p>
    <w:p w:rsidR="00997B39" w:rsidRDefault="00997B39" w:rsidP="00997B39">
      <w:pPr>
        <w:pStyle w:val="a4"/>
        <w:jc w:val="center"/>
        <w:rPr>
          <w:b/>
          <w:sz w:val="24"/>
          <w:szCs w:val="24"/>
        </w:rPr>
      </w:pPr>
    </w:p>
    <w:p w:rsidR="00997B39" w:rsidRPr="00174060" w:rsidRDefault="00997B39" w:rsidP="00997B39">
      <w:pPr>
        <w:pStyle w:val="a4"/>
        <w:ind w:firstLine="680"/>
        <w:rPr>
          <w:sz w:val="24"/>
          <w:szCs w:val="24"/>
        </w:rPr>
      </w:pPr>
      <w:r w:rsidRPr="00174060">
        <w:rPr>
          <w:sz w:val="24"/>
          <w:szCs w:val="24"/>
        </w:rPr>
        <w:t>Наглядова рада П</w:t>
      </w:r>
      <w:r>
        <w:rPr>
          <w:sz w:val="24"/>
          <w:szCs w:val="24"/>
        </w:rPr>
        <w:t xml:space="preserve">риватного </w:t>
      </w:r>
      <w:r w:rsidRPr="00174060">
        <w:rPr>
          <w:sz w:val="24"/>
          <w:szCs w:val="24"/>
        </w:rPr>
        <w:t>акціонерного товариства "</w:t>
      </w:r>
      <w:r w:rsidRPr="00174060">
        <w:rPr>
          <w:noProof/>
          <w:sz w:val="24"/>
          <w:szCs w:val="24"/>
        </w:rPr>
        <w:t>Ніжинська меблева фабрика</w:t>
      </w:r>
      <w:r w:rsidRPr="00174060">
        <w:rPr>
          <w:sz w:val="24"/>
          <w:szCs w:val="24"/>
        </w:rPr>
        <w:t xml:space="preserve">" (надалі – «Товариство»), яке знаходиться за </w:t>
      </w:r>
      <w:proofErr w:type="spellStart"/>
      <w:r w:rsidRPr="00174060">
        <w:rPr>
          <w:sz w:val="24"/>
          <w:szCs w:val="24"/>
        </w:rPr>
        <w:t>адресою</w:t>
      </w:r>
      <w:proofErr w:type="spellEnd"/>
      <w:r w:rsidRPr="00174060">
        <w:rPr>
          <w:sz w:val="24"/>
          <w:szCs w:val="24"/>
        </w:rPr>
        <w:t xml:space="preserve">: вул. </w:t>
      </w:r>
      <w:proofErr w:type="spellStart"/>
      <w:r w:rsidRPr="00174060">
        <w:rPr>
          <w:sz w:val="24"/>
          <w:szCs w:val="24"/>
        </w:rPr>
        <w:t>Липіврізька</w:t>
      </w:r>
      <w:proofErr w:type="spellEnd"/>
      <w:r w:rsidRPr="00174060">
        <w:rPr>
          <w:sz w:val="24"/>
          <w:szCs w:val="24"/>
        </w:rPr>
        <w:t xml:space="preserve">, буд. </w:t>
      </w:r>
      <w:smartTag w:uri="urn:schemas-microsoft-com:office:smarttags" w:element="metricconverter">
        <w:smartTagPr>
          <w:attr w:name="ProductID" w:val="53, м"/>
        </w:smartTagPr>
        <w:r w:rsidRPr="00174060">
          <w:rPr>
            <w:sz w:val="24"/>
            <w:szCs w:val="24"/>
          </w:rPr>
          <w:t>53, м</w:t>
        </w:r>
      </w:smartTag>
      <w:r w:rsidRPr="00174060">
        <w:rPr>
          <w:sz w:val="24"/>
          <w:szCs w:val="24"/>
        </w:rPr>
        <w:t xml:space="preserve">. Ніжин, Чернігівська область, 16600), повідомляє про проведення річних загальних зборів акціонерів Товариства </w:t>
      </w:r>
      <w:r>
        <w:rPr>
          <w:sz w:val="24"/>
          <w:szCs w:val="24"/>
        </w:rPr>
        <w:t>09 листопада</w:t>
      </w:r>
      <w:r w:rsidRPr="00174060">
        <w:rPr>
          <w:sz w:val="24"/>
          <w:szCs w:val="24"/>
        </w:rPr>
        <w:t xml:space="preserve"> 20</w:t>
      </w:r>
      <w:r>
        <w:rPr>
          <w:sz w:val="24"/>
          <w:szCs w:val="24"/>
        </w:rPr>
        <w:t>20</w:t>
      </w:r>
      <w:r w:rsidRPr="00174060">
        <w:rPr>
          <w:sz w:val="24"/>
          <w:szCs w:val="24"/>
        </w:rPr>
        <w:t xml:space="preserve"> року о 09:00 годині за </w:t>
      </w:r>
      <w:proofErr w:type="spellStart"/>
      <w:r w:rsidRPr="00174060">
        <w:rPr>
          <w:sz w:val="24"/>
          <w:szCs w:val="24"/>
        </w:rPr>
        <w:t>адресою</w:t>
      </w:r>
      <w:proofErr w:type="spellEnd"/>
      <w:r w:rsidRPr="00174060">
        <w:rPr>
          <w:sz w:val="24"/>
          <w:szCs w:val="24"/>
        </w:rPr>
        <w:t xml:space="preserve">: вул. </w:t>
      </w:r>
      <w:proofErr w:type="spellStart"/>
      <w:r w:rsidRPr="00174060">
        <w:rPr>
          <w:sz w:val="24"/>
          <w:szCs w:val="24"/>
        </w:rPr>
        <w:t>Липіврізька</w:t>
      </w:r>
      <w:proofErr w:type="spellEnd"/>
      <w:r w:rsidRPr="00174060">
        <w:rPr>
          <w:sz w:val="24"/>
          <w:szCs w:val="24"/>
        </w:rPr>
        <w:t xml:space="preserve">, буд. </w:t>
      </w:r>
      <w:smartTag w:uri="urn:schemas-microsoft-com:office:smarttags" w:element="metricconverter">
        <w:smartTagPr>
          <w:attr w:name="ProductID" w:val="53, м"/>
        </w:smartTagPr>
        <w:r w:rsidRPr="00174060">
          <w:rPr>
            <w:sz w:val="24"/>
            <w:szCs w:val="24"/>
          </w:rPr>
          <w:t>53, м</w:t>
        </w:r>
      </w:smartTag>
      <w:r w:rsidRPr="00174060">
        <w:rPr>
          <w:sz w:val="24"/>
          <w:szCs w:val="24"/>
        </w:rPr>
        <w:t>. Ніжин, Чернігівська обл., 16600 (</w:t>
      </w:r>
      <w:r>
        <w:rPr>
          <w:sz w:val="24"/>
          <w:szCs w:val="24"/>
        </w:rPr>
        <w:t>актовий зал</w:t>
      </w:r>
      <w:r w:rsidRPr="00174060">
        <w:rPr>
          <w:sz w:val="24"/>
          <w:szCs w:val="24"/>
        </w:rPr>
        <w:t xml:space="preserve"> на 2 поверсі). </w:t>
      </w:r>
    </w:p>
    <w:p w:rsidR="00997B39" w:rsidRPr="00174060" w:rsidRDefault="00997B39" w:rsidP="00997B39">
      <w:pPr>
        <w:pStyle w:val="a4"/>
        <w:ind w:firstLine="680"/>
        <w:rPr>
          <w:sz w:val="24"/>
          <w:szCs w:val="24"/>
        </w:rPr>
      </w:pPr>
      <w:r w:rsidRPr="00174060">
        <w:rPr>
          <w:sz w:val="24"/>
          <w:szCs w:val="24"/>
        </w:rPr>
        <w:t xml:space="preserve">Реєстрація акціонерів (їх представників) для участі у річних загальних зборах буде проводитись </w:t>
      </w:r>
      <w:r>
        <w:rPr>
          <w:sz w:val="24"/>
          <w:szCs w:val="24"/>
          <w:lang w:val="ru-RU"/>
        </w:rPr>
        <w:t>09 листопада</w:t>
      </w:r>
      <w:r w:rsidRPr="00174060">
        <w:rPr>
          <w:sz w:val="24"/>
          <w:szCs w:val="24"/>
        </w:rPr>
        <w:t xml:space="preserve"> 20</w:t>
      </w:r>
      <w:r>
        <w:rPr>
          <w:sz w:val="24"/>
          <w:szCs w:val="24"/>
        </w:rPr>
        <w:t>20</w:t>
      </w:r>
      <w:r w:rsidRPr="00174060">
        <w:rPr>
          <w:sz w:val="24"/>
          <w:szCs w:val="24"/>
        </w:rPr>
        <w:t xml:space="preserve"> року з </w:t>
      </w:r>
      <w:r w:rsidRPr="00174060">
        <w:rPr>
          <w:sz w:val="24"/>
          <w:szCs w:val="24"/>
          <w:lang w:val="ru-RU"/>
        </w:rPr>
        <w:t xml:space="preserve">08:00 до 08:55 </w:t>
      </w:r>
      <w:r w:rsidRPr="00174060">
        <w:rPr>
          <w:sz w:val="24"/>
          <w:szCs w:val="24"/>
        </w:rPr>
        <w:t xml:space="preserve">за місцем проведення річних загальних зборів акціонерів. </w:t>
      </w:r>
    </w:p>
    <w:p w:rsidR="00997B39" w:rsidRPr="00694558" w:rsidRDefault="00997B39" w:rsidP="00997B39">
      <w:pPr>
        <w:pStyle w:val="a4"/>
        <w:ind w:firstLine="680"/>
        <w:rPr>
          <w:sz w:val="24"/>
          <w:szCs w:val="24"/>
        </w:rPr>
      </w:pPr>
      <w:r w:rsidRPr="00FB7FBC">
        <w:rPr>
          <w:color w:val="000000"/>
          <w:sz w:val="24"/>
          <w:szCs w:val="24"/>
        </w:rPr>
        <w:t xml:space="preserve">Згідно з переліком осіб, яким надсилається повідомлення про проведення загальних зборів, складеним станом на </w:t>
      </w:r>
      <w:r>
        <w:rPr>
          <w:color w:val="000000"/>
          <w:sz w:val="24"/>
          <w:szCs w:val="24"/>
        </w:rPr>
        <w:t>01 жовтня</w:t>
      </w:r>
      <w:r w:rsidRPr="00FB7FBC">
        <w:rPr>
          <w:color w:val="000000"/>
          <w:sz w:val="24"/>
          <w:szCs w:val="24"/>
        </w:rPr>
        <w:t xml:space="preserve"> 20</w:t>
      </w:r>
      <w:r>
        <w:rPr>
          <w:color w:val="000000"/>
          <w:sz w:val="24"/>
          <w:szCs w:val="24"/>
        </w:rPr>
        <w:t>20</w:t>
      </w:r>
      <w:r w:rsidRPr="00FB7FBC">
        <w:rPr>
          <w:color w:val="000000"/>
          <w:sz w:val="24"/>
          <w:szCs w:val="24"/>
        </w:rPr>
        <w:t xml:space="preserve"> року: загальна кількість акцій – 1 864 600 шт., </w:t>
      </w:r>
      <w:r w:rsidRPr="00694558">
        <w:rPr>
          <w:sz w:val="24"/>
          <w:szCs w:val="24"/>
        </w:rPr>
        <w:t>голосуючих акцій 1 532 492 шт.</w:t>
      </w:r>
    </w:p>
    <w:p w:rsidR="00997B39" w:rsidRPr="00174060" w:rsidRDefault="00997B39" w:rsidP="00997B39">
      <w:pPr>
        <w:pStyle w:val="a4"/>
        <w:ind w:firstLine="680"/>
        <w:rPr>
          <w:sz w:val="24"/>
          <w:szCs w:val="24"/>
        </w:rPr>
      </w:pPr>
      <w:r w:rsidRPr="00FB7FBC">
        <w:rPr>
          <w:color w:val="000000"/>
          <w:sz w:val="24"/>
          <w:szCs w:val="24"/>
        </w:rPr>
        <w:t>Дата складення переліку акціонерів, які мають право на участь у річних загальних зборах</w:t>
      </w:r>
      <w:r w:rsidRPr="00174060">
        <w:rPr>
          <w:sz w:val="24"/>
          <w:szCs w:val="24"/>
        </w:rPr>
        <w:t xml:space="preserve"> </w:t>
      </w:r>
      <w:bookmarkStart w:id="0" w:name="_GoBack"/>
      <w:bookmarkEnd w:id="0"/>
      <w:r w:rsidRPr="00174060">
        <w:rPr>
          <w:sz w:val="24"/>
          <w:szCs w:val="24"/>
        </w:rPr>
        <w:t xml:space="preserve">акціонерів – станом на 24 годину </w:t>
      </w:r>
      <w:r>
        <w:rPr>
          <w:sz w:val="24"/>
          <w:szCs w:val="24"/>
        </w:rPr>
        <w:t>03 листопада 2020</w:t>
      </w:r>
      <w:r w:rsidRPr="00174060">
        <w:rPr>
          <w:sz w:val="24"/>
          <w:szCs w:val="24"/>
        </w:rPr>
        <w:t xml:space="preserve"> року.</w:t>
      </w:r>
    </w:p>
    <w:p w:rsidR="00997B39" w:rsidRDefault="00997B39" w:rsidP="00997B39">
      <w:pPr>
        <w:pStyle w:val="a4"/>
        <w:ind w:firstLine="851"/>
        <w:jc w:val="center"/>
        <w:rPr>
          <w:b/>
          <w:sz w:val="24"/>
          <w:szCs w:val="24"/>
        </w:rPr>
      </w:pPr>
    </w:p>
    <w:p w:rsidR="00997B39" w:rsidRDefault="00997B39" w:rsidP="00997B39">
      <w:pPr>
        <w:pStyle w:val="a4"/>
        <w:ind w:firstLine="851"/>
        <w:jc w:val="center"/>
        <w:rPr>
          <w:b/>
          <w:sz w:val="24"/>
          <w:szCs w:val="24"/>
        </w:rPr>
      </w:pPr>
      <w:r w:rsidRPr="001E056A">
        <w:rPr>
          <w:b/>
          <w:sz w:val="24"/>
          <w:szCs w:val="24"/>
        </w:rPr>
        <w:t>ПРО</w:t>
      </w:r>
      <w:r>
        <w:rPr>
          <w:b/>
          <w:sz w:val="24"/>
          <w:szCs w:val="24"/>
        </w:rPr>
        <w:t>Є</w:t>
      </w:r>
      <w:r w:rsidRPr="001E056A">
        <w:rPr>
          <w:b/>
          <w:sz w:val="24"/>
          <w:szCs w:val="24"/>
        </w:rPr>
        <w:t>КТ ПОРЯДКУ ДЕННОГО:</w:t>
      </w:r>
    </w:p>
    <w:p w:rsidR="00997B39" w:rsidRPr="001E056A" w:rsidRDefault="00997B39" w:rsidP="00997B39">
      <w:pPr>
        <w:pStyle w:val="a4"/>
        <w:ind w:firstLine="851"/>
        <w:jc w:val="center"/>
        <w:rPr>
          <w:b/>
          <w:sz w:val="24"/>
          <w:szCs w:val="24"/>
        </w:rPr>
      </w:pPr>
    </w:p>
    <w:p w:rsidR="00997B39" w:rsidRDefault="00997B39" w:rsidP="00997B39">
      <w:pPr>
        <w:pStyle w:val="a4"/>
        <w:numPr>
          <w:ilvl w:val="0"/>
          <w:numId w:val="1"/>
        </w:numPr>
        <w:tabs>
          <w:tab w:val="left" w:pos="1276"/>
        </w:tabs>
        <w:ind w:left="0" w:firstLine="851"/>
        <w:rPr>
          <w:sz w:val="24"/>
          <w:szCs w:val="24"/>
        </w:rPr>
      </w:pPr>
      <w:r w:rsidRPr="00455E2A">
        <w:rPr>
          <w:sz w:val="24"/>
          <w:szCs w:val="24"/>
        </w:rPr>
        <w:t>Обрання членів лічильної комісії, включаючи голову.</w:t>
      </w:r>
    </w:p>
    <w:p w:rsidR="00997B39" w:rsidRDefault="00997B39" w:rsidP="00997B39">
      <w:pPr>
        <w:pStyle w:val="a4"/>
        <w:tabs>
          <w:tab w:val="left" w:pos="1276"/>
        </w:tabs>
        <w:ind w:left="851"/>
        <w:rPr>
          <w:sz w:val="24"/>
          <w:szCs w:val="24"/>
        </w:rPr>
      </w:pPr>
    </w:p>
    <w:p w:rsidR="00997B39" w:rsidRDefault="00997B39" w:rsidP="00997B39">
      <w:pPr>
        <w:pStyle w:val="a4"/>
        <w:tabs>
          <w:tab w:val="left" w:pos="1276"/>
        </w:tabs>
        <w:rPr>
          <w:i/>
          <w:sz w:val="24"/>
          <w:szCs w:val="24"/>
        </w:rPr>
      </w:pPr>
      <w:r>
        <w:rPr>
          <w:sz w:val="24"/>
          <w:szCs w:val="24"/>
        </w:rPr>
        <w:tab/>
      </w:r>
      <w:proofErr w:type="spellStart"/>
      <w:r w:rsidRPr="00740F24">
        <w:rPr>
          <w:i/>
          <w:sz w:val="24"/>
          <w:szCs w:val="24"/>
          <w:u w:val="single"/>
        </w:rPr>
        <w:t>Про</w:t>
      </w:r>
      <w:r>
        <w:rPr>
          <w:i/>
          <w:sz w:val="24"/>
          <w:szCs w:val="24"/>
          <w:u w:val="single"/>
        </w:rPr>
        <w:t>є</w:t>
      </w:r>
      <w:r w:rsidRPr="00740F24">
        <w:rPr>
          <w:i/>
          <w:sz w:val="24"/>
          <w:szCs w:val="24"/>
          <w:u w:val="single"/>
        </w:rPr>
        <w:t>кт</w:t>
      </w:r>
      <w:proofErr w:type="spellEnd"/>
      <w:r w:rsidRPr="00740F24">
        <w:rPr>
          <w:i/>
          <w:sz w:val="24"/>
          <w:szCs w:val="24"/>
          <w:u w:val="single"/>
        </w:rPr>
        <w:t xml:space="preserve"> рішення</w:t>
      </w:r>
      <w:r>
        <w:rPr>
          <w:i/>
          <w:sz w:val="24"/>
          <w:szCs w:val="24"/>
        </w:rPr>
        <w:t xml:space="preserve">: обрати лічильну комісію у складі трьох осіб, а саме: Стрілко Т.О. – Голова комісії, </w:t>
      </w:r>
      <w:proofErr w:type="spellStart"/>
      <w:r>
        <w:rPr>
          <w:i/>
          <w:sz w:val="24"/>
          <w:szCs w:val="24"/>
        </w:rPr>
        <w:t>Малавський</w:t>
      </w:r>
      <w:proofErr w:type="spellEnd"/>
      <w:r>
        <w:rPr>
          <w:i/>
          <w:sz w:val="24"/>
          <w:szCs w:val="24"/>
        </w:rPr>
        <w:t xml:space="preserve"> Л.Б., </w:t>
      </w:r>
      <w:proofErr w:type="spellStart"/>
      <w:r>
        <w:rPr>
          <w:i/>
          <w:sz w:val="24"/>
          <w:szCs w:val="24"/>
        </w:rPr>
        <w:t>Совцов</w:t>
      </w:r>
      <w:proofErr w:type="spellEnd"/>
      <w:r>
        <w:rPr>
          <w:i/>
          <w:sz w:val="24"/>
          <w:szCs w:val="24"/>
        </w:rPr>
        <w:t xml:space="preserve"> В.В. – члени лічильної комісії.</w:t>
      </w:r>
    </w:p>
    <w:p w:rsidR="00997B39" w:rsidRPr="00740F24" w:rsidRDefault="00997B39" w:rsidP="00997B39">
      <w:pPr>
        <w:pStyle w:val="a4"/>
        <w:tabs>
          <w:tab w:val="left" w:pos="1276"/>
        </w:tabs>
        <w:rPr>
          <w:i/>
          <w:sz w:val="24"/>
          <w:szCs w:val="24"/>
        </w:rPr>
      </w:pPr>
    </w:p>
    <w:p w:rsidR="00997B39" w:rsidRDefault="00997B39" w:rsidP="00997B39">
      <w:pPr>
        <w:pStyle w:val="a4"/>
        <w:numPr>
          <w:ilvl w:val="0"/>
          <w:numId w:val="1"/>
        </w:numPr>
        <w:tabs>
          <w:tab w:val="left" w:pos="1276"/>
        </w:tabs>
        <w:ind w:left="0" w:firstLine="851"/>
        <w:rPr>
          <w:sz w:val="24"/>
          <w:szCs w:val="24"/>
        </w:rPr>
      </w:pPr>
      <w:r w:rsidRPr="00455E2A">
        <w:rPr>
          <w:sz w:val="24"/>
          <w:szCs w:val="24"/>
        </w:rPr>
        <w:t>Обрання головуючог</w:t>
      </w:r>
      <w:r>
        <w:rPr>
          <w:sz w:val="24"/>
          <w:szCs w:val="24"/>
        </w:rPr>
        <w:t>о та секретаря загальних зборів. З</w:t>
      </w:r>
      <w:r w:rsidRPr="00455E2A">
        <w:rPr>
          <w:sz w:val="24"/>
          <w:szCs w:val="24"/>
        </w:rPr>
        <w:t>атвердження регламенту загальних зборів</w:t>
      </w:r>
      <w:r>
        <w:rPr>
          <w:sz w:val="24"/>
          <w:szCs w:val="24"/>
        </w:rPr>
        <w:t xml:space="preserve"> акціонерів</w:t>
      </w:r>
      <w:r w:rsidRPr="00455E2A">
        <w:rPr>
          <w:sz w:val="24"/>
          <w:szCs w:val="24"/>
        </w:rPr>
        <w:t>.</w:t>
      </w:r>
    </w:p>
    <w:p w:rsidR="00997B39" w:rsidRDefault="00997B39" w:rsidP="00997B39">
      <w:pPr>
        <w:pStyle w:val="a4"/>
        <w:tabs>
          <w:tab w:val="left" w:pos="1276"/>
        </w:tabs>
        <w:rPr>
          <w:sz w:val="24"/>
          <w:szCs w:val="24"/>
        </w:rPr>
      </w:pPr>
    </w:p>
    <w:p w:rsidR="00997B39" w:rsidRDefault="00997B39" w:rsidP="00997B39">
      <w:pPr>
        <w:pStyle w:val="a4"/>
        <w:tabs>
          <w:tab w:val="left" w:pos="1276"/>
        </w:tabs>
        <w:rPr>
          <w:i/>
          <w:sz w:val="24"/>
          <w:szCs w:val="24"/>
        </w:rPr>
      </w:pPr>
      <w:r>
        <w:rPr>
          <w:sz w:val="24"/>
          <w:szCs w:val="24"/>
        </w:rPr>
        <w:tab/>
      </w:r>
      <w:proofErr w:type="spellStart"/>
      <w:r>
        <w:rPr>
          <w:i/>
          <w:sz w:val="24"/>
          <w:szCs w:val="24"/>
          <w:u w:val="single"/>
        </w:rPr>
        <w:t>Проєкт</w:t>
      </w:r>
      <w:proofErr w:type="spellEnd"/>
      <w:r>
        <w:rPr>
          <w:i/>
          <w:sz w:val="24"/>
          <w:szCs w:val="24"/>
          <w:u w:val="single"/>
        </w:rPr>
        <w:t xml:space="preserve"> рішення:</w:t>
      </w:r>
      <w:r>
        <w:rPr>
          <w:i/>
          <w:sz w:val="24"/>
          <w:szCs w:val="24"/>
        </w:rPr>
        <w:t xml:space="preserve"> обрати головуючим на загальних зборах  акціонерів Стрілко В.М., секретарем загальних зборів акціонерів </w:t>
      </w:r>
      <w:proofErr w:type="spellStart"/>
      <w:r>
        <w:rPr>
          <w:i/>
          <w:sz w:val="24"/>
          <w:szCs w:val="24"/>
        </w:rPr>
        <w:t>Купор</w:t>
      </w:r>
      <w:proofErr w:type="spellEnd"/>
      <w:r>
        <w:rPr>
          <w:i/>
          <w:sz w:val="24"/>
          <w:szCs w:val="24"/>
        </w:rPr>
        <w:t xml:space="preserve"> Л.П. Затвердити регламент  роботи загальних зборів акціонерів: основна доповідь – 10 хвилин; виступи в дебатах – 3 хвилини; відповіді на запитання -  3 хвилини. Проведення голосування по усім питанням порядку денного відбувається з використанням бюлетенів для голосування. Принцип голосування: 1 акція – 1 голос.</w:t>
      </w:r>
    </w:p>
    <w:p w:rsidR="00997B39" w:rsidRPr="00740F24" w:rsidRDefault="00997B39" w:rsidP="00997B39">
      <w:pPr>
        <w:pStyle w:val="a4"/>
        <w:tabs>
          <w:tab w:val="left" w:pos="1276"/>
        </w:tabs>
        <w:rPr>
          <w:i/>
          <w:sz w:val="24"/>
          <w:szCs w:val="24"/>
        </w:rPr>
      </w:pPr>
    </w:p>
    <w:p w:rsidR="00997B39" w:rsidRDefault="00997B39" w:rsidP="00997B39">
      <w:pPr>
        <w:pStyle w:val="a4"/>
        <w:numPr>
          <w:ilvl w:val="0"/>
          <w:numId w:val="1"/>
        </w:numPr>
        <w:tabs>
          <w:tab w:val="left" w:pos="1276"/>
        </w:tabs>
        <w:ind w:left="0" w:firstLine="851"/>
        <w:rPr>
          <w:sz w:val="24"/>
          <w:szCs w:val="24"/>
        </w:rPr>
      </w:pPr>
      <w:r>
        <w:rPr>
          <w:sz w:val="24"/>
          <w:szCs w:val="24"/>
        </w:rPr>
        <w:t xml:space="preserve">Звіт Директора Товариства про результати фінансово-господарської діяльності за 2019 рік. Затвердження заходів за результатами </w:t>
      </w:r>
      <w:r w:rsidRPr="00455E2A">
        <w:rPr>
          <w:sz w:val="24"/>
          <w:szCs w:val="24"/>
        </w:rPr>
        <w:t xml:space="preserve">розгляду </w:t>
      </w:r>
      <w:r>
        <w:rPr>
          <w:sz w:val="24"/>
          <w:szCs w:val="24"/>
        </w:rPr>
        <w:t xml:space="preserve">та прийняття рішення за наслідками розгляду </w:t>
      </w:r>
      <w:r w:rsidRPr="00455E2A">
        <w:rPr>
          <w:sz w:val="24"/>
          <w:szCs w:val="24"/>
        </w:rPr>
        <w:t>звіту Директора</w:t>
      </w:r>
      <w:r>
        <w:rPr>
          <w:sz w:val="24"/>
          <w:szCs w:val="24"/>
        </w:rPr>
        <w:t>.</w:t>
      </w:r>
    </w:p>
    <w:p w:rsidR="00997B39" w:rsidRDefault="00997B39" w:rsidP="00997B39">
      <w:pPr>
        <w:pStyle w:val="a4"/>
        <w:tabs>
          <w:tab w:val="left" w:pos="1276"/>
        </w:tabs>
        <w:rPr>
          <w:sz w:val="24"/>
          <w:szCs w:val="24"/>
        </w:rPr>
      </w:pPr>
    </w:p>
    <w:p w:rsidR="00997B39" w:rsidRDefault="00997B39" w:rsidP="00997B39">
      <w:pPr>
        <w:pStyle w:val="a4"/>
        <w:tabs>
          <w:tab w:val="left" w:pos="1276"/>
        </w:tabs>
        <w:rPr>
          <w:i/>
          <w:sz w:val="24"/>
          <w:szCs w:val="24"/>
        </w:rPr>
      </w:pPr>
      <w:r>
        <w:rPr>
          <w:sz w:val="24"/>
          <w:szCs w:val="24"/>
        </w:rPr>
        <w:tab/>
      </w:r>
      <w:proofErr w:type="spellStart"/>
      <w:r>
        <w:rPr>
          <w:i/>
          <w:sz w:val="24"/>
          <w:szCs w:val="24"/>
          <w:u w:val="single"/>
        </w:rPr>
        <w:t>Проєкт</w:t>
      </w:r>
      <w:proofErr w:type="spellEnd"/>
      <w:r>
        <w:rPr>
          <w:i/>
          <w:sz w:val="24"/>
          <w:szCs w:val="24"/>
          <w:u w:val="single"/>
        </w:rPr>
        <w:t xml:space="preserve"> рішення:</w:t>
      </w:r>
      <w:r w:rsidRPr="00305B29">
        <w:rPr>
          <w:i/>
          <w:sz w:val="24"/>
          <w:szCs w:val="24"/>
        </w:rPr>
        <w:t xml:space="preserve"> </w:t>
      </w:r>
      <w:r>
        <w:rPr>
          <w:i/>
          <w:sz w:val="24"/>
          <w:szCs w:val="24"/>
        </w:rPr>
        <w:t>взяти до відома звіт Директора товариства про результати фінансово-господарської діяльності за 2019 рік та затвердження заходів за результатами розгляду звіту.</w:t>
      </w:r>
    </w:p>
    <w:p w:rsidR="00997B39" w:rsidRPr="00305B29" w:rsidRDefault="00997B39" w:rsidP="00997B39">
      <w:pPr>
        <w:pStyle w:val="a4"/>
        <w:tabs>
          <w:tab w:val="left" w:pos="1276"/>
        </w:tabs>
        <w:rPr>
          <w:i/>
          <w:sz w:val="24"/>
          <w:szCs w:val="24"/>
        </w:rPr>
      </w:pPr>
    </w:p>
    <w:p w:rsidR="00997B39" w:rsidRDefault="00997B39" w:rsidP="00997B39">
      <w:pPr>
        <w:pStyle w:val="a4"/>
        <w:numPr>
          <w:ilvl w:val="0"/>
          <w:numId w:val="1"/>
        </w:numPr>
        <w:tabs>
          <w:tab w:val="left" w:pos="1276"/>
        </w:tabs>
        <w:ind w:left="0" w:firstLine="851"/>
        <w:rPr>
          <w:sz w:val="24"/>
          <w:szCs w:val="24"/>
        </w:rPr>
      </w:pPr>
      <w:r>
        <w:rPr>
          <w:sz w:val="24"/>
          <w:szCs w:val="24"/>
        </w:rPr>
        <w:t>Звіт Наглядової ради Товариства за</w:t>
      </w:r>
      <w:r w:rsidRPr="00455E2A">
        <w:rPr>
          <w:sz w:val="24"/>
          <w:szCs w:val="24"/>
        </w:rPr>
        <w:t xml:space="preserve"> 201</w:t>
      </w:r>
      <w:r>
        <w:rPr>
          <w:sz w:val="24"/>
          <w:szCs w:val="24"/>
        </w:rPr>
        <w:t>9</w:t>
      </w:r>
      <w:r w:rsidRPr="00455E2A">
        <w:rPr>
          <w:sz w:val="24"/>
          <w:szCs w:val="24"/>
        </w:rPr>
        <w:t xml:space="preserve"> рік</w:t>
      </w:r>
      <w:r>
        <w:rPr>
          <w:sz w:val="24"/>
          <w:szCs w:val="24"/>
        </w:rPr>
        <w:t>.</w:t>
      </w:r>
      <w:r w:rsidRPr="00455E2A">
        <w:rPr>
          <w:sz w:val="24"/>
          <w:szCs w:val="24"/>
        </w:rPr>
        <w:t xml:space="preserve"> </w:t>
      </w:r>
      <w:r>
        <w:rPr>
          <w:sz w:val="24"/>
          <w:szCs w:val="24"/>
        </w:rPr>
        <w:t xml:space="preserve">Затвердження заходів за результатами </w:t>
      </w:r>
      <w:r w:rsidRPr="00455E2A">
        <w:rPr>
          <w:sz w:val="24"/>
          <w:szCs w:val="24"/>
        </w:rPr>
        <w:t>розгляду</w:t>
      </w:r>
      <w:r>
        <w:rPr>
          <w:sz w:val="24"/>
          <w:szCs w:val="24"/>
        </w:rPr>
        <w:t xml:space="preserve"> та прийняття рішення за наслідками розгляду звіту </w:t>
      </w:r>
      <w:r w:rsidRPr="00455E2A">
        <w:rPr>
          <w:sz w:val="24"/>
          <w:szCs w:val="24"/>
        </w:rPr>
        <w:t>Наглядової ради.</w:t>
      </w:r>
    </w:p>
    <w:p w:rsidR="00997B39" w:rsidRDefault="00997B39" w:rsidP="00997B39">
      <w:pPr>
        <w:pStyle w:val="a4"/>
        <w:tabs>
          <w:tab w:val="left" w:pos="1276"/>
        </w:tabs>
        <w:ind w:left="851"/>
        <w:rPr>
          <w:sz w:val="24"/>
          <w:szCs w:val="24"/>
        </w:rPr>
      </w:pPr>
    </w:p>
    <w:p w:rsidR="00997B39" w:rsidRDefault="00997B39" w:rsidP="00997B39">
      <w:pPr>
        <w:pStyle w:val="a4"/>
        <w:tabs>
          <w:tab w:val="left" w:pos="1276"/>
        </w:tabs>
        <w:rPr>
          <w:i/>
          <w:sz w:val="24"/>
          <w:szCs w:val="24"/>
        </w:rPr>
      </w:pPr>
      <w:r w:rsidRPr="00D473B8">
        <w:rPr>
          <w:i/>
          <w:sz w:val="24"/>
          <w:szCs w:val="24"/>
        </w:rPr>
        <w:tab/>
      </w:r>
      <w:proofErr w:type="spellStart"/>
      <w:r>
        <w:rPr>
          <w:i/>
          <w:sz w:val="24"/>
          <w:szCs w:val="24"/>
          <w:u w:val="single"/>
        </w:rPr>
        <w:t>Проєкт</w:t>
      </w:r>
      <w:proofErr w:type="spellEnd"/>
      <w:r>
        <w:rPr>
          <w:i/>
          <w:sz w:val="24"/>
          <w:szCs w:val="24"/>
          <w:u w:val="single"/>
        </w:rPr>
        <w:t xml:space="preserve"> рішення:</w:t>
      </w:r>
      <w:r w:rsidRPr="00305B29">
        <w:rPr>
          <w:i/>
          <w:sz w:val="24"/>
          <w:szCs w:val="24"/>
        </w:rPr>
        <w:t xml:space="preserve"> </w:t>
      </w:r>
      <w:r>
        <w:rPr>
          <w:i/>
          <w:sz w:val="24"/>
          <w:szCs w:val="24"/>
        </w:rPr>
        <w:t>взяти до відома звіт Наглядової ради товариства за 2019 рік та затвердження заходів за результатами розгляду звіту.</w:t>
      </w:r>
    </w:p>
    <w:p w:rsidR="00997B39" w:rsidRPr="00455E2A" w:rsidRDefault="00997B39" w:rsidP="00997B39">
      <w:pPr>
        <w:pStyle w:val="a4"/>
        <w:tabs>
          <w:tab w:val="left" w:pos="1276"/>
        </w:tabs>
        <w:rPr>
          <w:sz w:val="24"/>
          <w:szCs w:val="24"/>
        </w:rPr>
      </w:pPr>
    </w:p>
    <w:p w:rsidR="00997B39" w:rsidRDefault="00997B39" w:rsidP="00997B39">
      <w:pPr>
        <w:pStyle w:val="a4"/>
        <w:numPr>
          <w:ilvl w:val="0"/>
          <w:numId w:val="1"/>
        </w:numPr>
        <w:tabs>
          <w:tab w:val="left" w:pos="1276"/>
        </w:tabs>
        <w:ind w:left="0" w:firstLine="851"/>
        <w:rPr>
          <w:sz w:val="24"/>
          <w:szCs w:val="24"/>
        </w:rPr>
      </w:pPr>
      <w:r w:rsidRPr="00455E2A">
        <w:rPr>
          <w:sz w:val="24"/>
          <w:szCs w:val="24"/>
        </w:rPr>
        <w:t>Затвердження річного звіту (річної фінансової звітності) Товариства за 201</w:t>
      </w:r>
      <w:r>
        <w:rPr>
          <w:sz w:val="24"/>
          <w:szCs w:val="24"/>
        </w:rPr>
        <w:t xml:space="preserve">9 </w:t>
      </w:r>
      <w:r w:rsidRPr="00455E2A">
        <w:rPr>
          <w:sz w:val="24"/>
          <w:szCs w:val="24"/>
        </w:rPr>
        <w:t>рік.</w:t>
      </w:r>
    </w:p>
    <w:p w:rsidR="00997B39" w:rsidRDefault="00997B39" w:rsidP="00997B39">
      <w:pPr>
        <w:pStyle w:val="a4"/>
        <w:tabs>
          <w:tab w:val="left" w:pos="1276"/>
        </w:tabs>
        <w:rPr>
          <w:sz w:val="24"/>
          <w:szCs w:val="24"/>
        </w:rPr>
      </w:pPr>
    </w:p>
    <w:p w:rsidR="00997B39" w:rsidRDefault="00997B39" w:rsidP="00997B39">
      <w:pPr>
        <w:pStyle w:val="a4"/>
        <w:tabs>
          <w:tab w:val="left" w:pos="1276"/>
        </w:tabs>
        <w:rPr>
          <w:i/>
          <w:sz w:val="24"/>
          <w:szCs w:val="24"/>
        </w:rPr>
      </w:pPr>
      <w:r>
        <w:rPr>
          <w:sz w:val="24"/>
          <w:szCs w:val="24"/>
        </w:rPr>
        <w:tab/>
      </w:r>
      <w:proofErr w:type="spellStart"/>
      <w:r>
        <w:rPr>
          <w:i/>
          <w:sz w:val="24"/>
          <w:szCs w:val="24"/>
          <w:u w:val="single"/>
        </w:rPr>
        <w:t>Проєкт</w:t>
      </w:r>
      <w:proofErr w:type="spellEnd"/>
      <w:r>
        <w:rPr>
          <w:i/>
          <w:sz w:val="24"/>
          <w:szCs w:val="24"/>
          <w:u w:val="single"/>
        </w:rPr>
        <w:t xml:space="preserve"> рішення:</w:t>
      </w:r>
      <w:r>
        <w:rPr>
          <w:i/>
          <w:sz w:val="24"/>
          <w:szCs w:val="24"/>
        </w:rPr>
        <w:t xml:space="preserve"> затвердити річний звіт (річну фінансову звітність) Товариства за 2019 рік.</w:t>
      </w:r>
    </w:p>
    <w:p w:rsidR="00997B39" w:rsidRDefault="00997B39" w:rsidP="00997B39">
      <w:pPr>
        <w:pStyle w:val="a4"/>
        <w:tabs>
          <w:tab w:val="left" w:pos="1276"/>
        </w:tabs>
        <w:rPr>
          <w:sz w:val="24"/>
          <w:szCs w:val="24"/>
        </w:rPr>
      </w:pPr>
    </w:p>
    <w:p w:rsidR="00997B39" w:rsidRDefault="00997B39" w:rsidP="00997B39">
      <w:pPr>
        <w:pStyle w:val="a4"/>
        <w:numPr>
          <w:ilvl w:val="0"/>
          <w:numId w:val="1"/>
        </w:numPr>
        <w:tabs>
          <w:tab w:val="left" w:pos="1276"/>
        </w:tabs>
        <w:ind w:left="0" w:firstLine="851"/>
        <w:rPr>
          <w:sz w:val="24"/>
          <w:szCs w:val="24"/>
        </w:rPr>
      </w:pPr>
      <w:r>
        <w:rPr>
          <w:sz w:val="24"/>
          <w:szCs w:val="24"/>
        </w:rPr>
        <w:t>Затвердження основних напрямків діяльності Товариства на 2020 рік.</w:t>
      </w:r>
    </w:p>
    <w:p w:rsidR="00997B39" w:rsidRDefault="00997B39" w:rsidP="00997B39">
      <w:pPr>
        <w:pStyle w:val="a4"/>
        <w:tabs>
          <w:tab w:val="left" w:pos="1276"/>
        </w:tabs>
        <w:ind w:left="851"/>
        <w:rPr>
          <w:sz w:val="24"/>
          <w:szCs w:val="24"/>
        </w:rPr>
      </w:pPr>
    </w:p>
    <w:p w:rsidR="00997B39" w:rsidRDefault="00997B39" w:rsidP="00997B39">
      <w:pPr>
        <w:pStyle w:val="a4"/>
        <w:tabs>
          <w:tab w:val="left" w:pos="1276"/>
        </w:tabs>
        <w:ind w:left="851" w:firstLine="425"/>
        <w:rPr>
          <w:i/>
          <w:sz w:val="24"/>
          <w:szCs w:val="24"/>
        </w:rPr>
      </w:pPr>
      <w:proofErr w:type="spellStart"/>
      <w:r>
        <w:rPr>
          <w:i/>
          <w:sz w:val="24"/>
          <w:szCs w:val="24"/>
          <w:u w:val="single"/>
        </w:rPr>
        <w:t>Проєкт</w:t>
      </w:r>
      <w:proofErr w:type="spellEnd"/>
      <w:r>
        <w:rPr>
          <w:i/>
          <w:sz w:val="24"/>
          <w:szCs w:val="24"/>
          <w:u w:val="single"/>
        </w:rPr>
        <w:t xml:space="preserve"> рішення:</w:t>
      </w:r>
      <w:r>
        <w:rPr>
          <w:i/>
          <w:sz w:val="24"/>
          <w:szCs w:val="24"/>
        </w:rPr>
        <w:t xml:space="preserve"> затвердити основні напрямки діяльності Товариства на 2020 рік.</w:t>
      </w:r>
    </w:p>
    <w:p w:rsidR="00997B39" w:rsidRPr="00104D48" w:rsidRDefault="00997B39" w:rsidP="00997B39">
      <w:pPr>
        <w:pStyle w:val="a4"/>
        <w:tabs>
          <w:tab w:val="left" w:pos="1276"/>
        </w:tabs>
        <w:ind w:left="851"/>
        <w:rPr>
          <w:i/>
          <w:sz w:val="24"/>
          <w:szCs w:val="24"/>
        </w:rPr>
      </w:pPr>
    </w:p>
    <w:p w:rsidR="00997B39" w:rsidRPr="00190AB0" w:rsidRDefault="00997B39" w:rsidP="00997B39">
      <w:pPr>
        <w:pStyle w:val="a4"/>
        <w:numPr>
          <w:ilvl w:val="0"/>
          <w:numId w:val="1"/>
        </w:numPr>
        <w:tabs>
          <w:tab w:val="left" w:pos="1276"/>
        </w:tabs>
        <w:ind w:left="0" w:firstLine="851"/>
        <w:rPr>
          <w:sz w:val="24"/>
          <w:szCs w:val="24"/>
        </w:rPr>
      </w:pPr>
      <w:r w:rsidRPr="00190AB0">
        <w:rPr>
          <w:sz w:val="24"/>
          <w:szCs w:val="24"/>
        </w:rPr>
        <w:t>Розподіл (покриття) збитків Товариства за 2019 рік.</w:t>
      </w:r>
    </w:p>
    <w:p w:rsidR="00997B39" w:rsidRPr="00190AB0" w:rsidRDefault="00997B39" w:rsidP="00997B39">
      <w:pPr>
        <w:pStyle w:val="a4"/>
        <w:tabs>
          <w:tab w:val="left" w:pos="1276"/>
        </w:tabs>
        <w:ind w:left="900"/>
        <w:rPr>
          <w:color w:val="FF0000"/>
          <w:sz w:val="24"/>
          <w:szCs w:val="24"/>
        </w:rPr>
      </w:pPr>
    </w:p>
    <w:p w:rsidR="00997B39" w:rsidRPr="00471837" w:rsidRDefault="00997B39" w:rsidP="00471837">
      <w:pPr>
        <w:pStyle w:val="a4"/>
        <w:tabs>
          <w:tab w:val="left" w:pos="1276"/>
        </w:tabs>
        <w:ind w:left="142" w:firstLine="142"/>
        <w:rPr>
          <w:bCs/>
          <w:i/>
          <w:color w:val="000000"/>
          <w:sz w:val="24"/>
          <w:szCs w:val="24"/>
          <w:lang w:eastAsia="uk-UA"/>
        </w:rPr>
      </w:pPr>
      <w:r w:rsidRPr="00190AB0">
        <w:rPr>
          <w:sz w:val="24"/>
          <w:szCs w:val="24"/>
        </w:rPr>
        <w:tab/>
      </w:r>
      <w:proofErr w:type="spellStart"/>
      <w:r>
        <w:rPr>
          <w:i/>
          <w:sz w:val="24"/>
          <w:szCs w:val="24"/>
          <w:u w:val="single"/>
        </w:rPr>
        <w:t>Проє</w:t>
      </w:r>
      <w:r w:rsidRPr="00190AB0">
        <w:rPr>
          <w:i/>
          <w:sz w:val="24"/>
          <w:szCs w:val="24"/>
          <w:u w:val="single"/>
        </w:rPr>
        <w:t>кт</w:t>
      </w:r>
      <w:proofErr w:type="spellEnd"/>
      <w:r w:rsidRPr="00190AB0">
        <w:rPr>
          <w:i/>
          <w:sz w:val="24"/>
          <w:szCs w:val="24"/>
          <w:u w:val="single"/>
        </w:rPr>
        <w:t xml:space="preserve"> рішення</w:t>
      </w:r>
      <w:r w:rsidRPr="00190AB0">
        <w:rPr>
          <w:i/>
          <w:sz w:val="24"/>
          <w:szCs w:val="24"/>
        </w:rPr>
        <w:t xml:space="preserve">: </w:t>
      </w:r>
      <w:r w:rsidRPr="00190AB0">
        <w:rPr>
          <w:i/>
          <w:color w:val="000000"/>
          <w:sz w:val="24"/>
          <w:szCs w:val="24"/>
        </w:rPr>
        <w:t>з</w:t>
      </w:r>
      <w:r w:rsidRPr="00190AB0">
        <w:rPr>
          <w:bCs/>
          <w:i/>
          <w:color w:val="000000"/>
          <w:sz w:val="24"/>
          <w:szCs w:val="24"/>
          <w:lang w:eastAsia="uk-UA"/>
        </w:rPr>
        <w:t xml:space="preserve">битки в розмірі 35,7 тис. грн., отримані за результатами </w:t>
      </w:r>
      <w:r w:rsidR="00471837">
        <w:rPr>
          <w:bCs/>
          <w:i/>
          <w:color w:val="000000"/>
          <w:sz w:val="24"/>
          <w:szCs w:val="24"/>
          <w:lang w:eastAsia="uk-UA"/>
        </w:rPr>
        <w:t xml:space="preserve"> </w:t>
      </w:r>
      <w:r w:rsidRPr="00190AB0">
        <w:rPr>
          <w:bCs/>
          <w:i/>
          <w:color w:val="000000"/>
          <w:sz w:val="24"/>
          <w:szCs w:val="24"/>
          <w:lang w:eastAsia="uk-UA"/>
        </w:rPr>
        <w:t>господарської діяльності  за звітний 2019 рік, покрити за рахунок прибутку майбутніх періодів</w:t>
      </w:r>
      <w:r w:rsidRPr="00190AB0">
        <w:rPr>
          <w:i/>
          <w:color w:val="000000"/>
          <w:sz w:val="24"/>
          <w:szCs w:val="24"/>
        </w:rPr>
        <w:t>.</w:t>
      </w:r>
    </w:p>
    <w:p w:rsidR="00997B39" w:rsidRPr="00190AB0" w:rsidRDefault="00997B39" w:rsidP="00997B39">
      <w:pPr>
        <w:pStyle w:val="a4"/>
        <w:tabs>
          <w:tab w:val="left" w:pos="1276"/>
        </w:tabs>
        <w:rPr>
          <w:color w:val="FF0000"/>
          <w:sz w:val="24"/>
          <w:szCs w:val="24"/>
        </w:rPr>
      </w:pPr>
    </w:p>
    <w:p w:rsidR="00997B39" w:rsidRPr="00997B39" w:rsidRDefault="00997B39" w:rsidP="00997B39">
      <w:pPr>
        <w:pStyle w:val="a4"/>
        <w:numPr>
          <w:ilvl w:val="0"/>
          <w:numId w:val="1"/>
        </w:numPr>
        <w:tabs>
          <w:tab w:val="left" w:pos="1276"/>
        </w:tabs>
        <w:ind w:left="142" w:firstLine="709"/>
        <w:rPr>
          <w:sz w:val="24"/>
          <w:szCs w:val="24"/>
        </w:rPr>
      </w:pPr>
      <w:r w:rsidRPr="00A40E97">
        <w:rPr>
          <w:color w:val="333333"/>
          <w:sz w:val="24"/>
          <w:szCs w:val="24"/>
          <w:shd w:val="clear" w:color="auto" w:fill="FFFFFF"/>
        </w:rPr>
        <w:t>Про попереднє надання згоди на вчинення значних правочинів Товариством протягом не більше як одного року з дати прийняття такого рішення,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та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Товариства</w:t>
      </w:r>
      <w:r>
        <w:rPr>
          <w:color w:val="333333"/>
          <w:sz w:val="24"/>
          <w:szCs w:val="24"/>
          <w:shd w:val="clear" w:color="auto" w:fill="FFFFFF"/>
        </w:rPr>
        <w:t>.</w:t>
      </w:r>
    </w:p>
    <w:p w:rsidR="00997B39" w:rsidRDefault="00997B39" w:rsidP="00997B39">
      <w:pPr>
        <w:pStyle w:val="a4"/>
        <w:tabs>
          <w:tab w:val="left" w:pos="1276"/>
        </w:tabs>
        <w:rPr>
          <w:color w:val="333333"/>
          <w:sz w:val="24"/>
          <w:szCs w:val="24"/>
          <w:shd w:val="clear" w:color="auto" w:fill="FFFFFF"/>
        </w:rPr>
      </w:pPr>
    </w:p>
    <w:p w:rsidR="00471837" w:rsidRDefault="00997B39" w:rsidP="00997B39">
      <w:pPr>
        <w:pStyle w:val="a4"/>
        <w:tabs>
          <w:tab w:val="left" w:pos="1276"/>
        </w:tabs>
        <w:rPr>
          <w:i/>
          <w:color w:val="333333"/>
          <w:sz w:val="24"/>
          <w:szCs w:val="24"/>
          <w:shd w:val="clear" w:color="auto" w:fill="FFFFFF"/>
        </w:rPr>
      </w:pPr>
      <w:r>
        <w:rPr>
          <w:color w:val="333333"/>
          <w:sz w:val="24"/>
          <w:szCs w:val="24"/>
          <w:shd w:val="clear" w:color="auto" w:fill="FFFFFF"/>
        </w:rPr>
        <w:tab/>
      </w:r>
      <w:proofErr w:type="spellStart"/>
      <w:r w:rsidRPr="00997B39">
        <w:rPr>
          <w:i/>
          <w:color w:val="333333"/>
          <w:sz w:val="24"/>
          <w:szCs w:val="24"/>
          <w:u w:val="single"/>
          <w:shd w:val="clear" w:color="auto" w:fill="FFFFFF"/>
        </w:rPr>
        <w:t>Проєкт</w:t>
      </w:r>
      <w:proofErr w:type="spellEnd"/>
      <w:r w:rsidRPr="00997B39">
        <w:rPr>
          <w:i/>
          <w:color w:val="333333"/>
          <w:sz w:val="24"/>
          <w:szCs w:val="24"/>
          <w:u w:val="single"/>
          <w:shd w:val="clear" w:color="auto" w:fill="FFFFFF"/>
        </w:rPr>
        <w:t xml:space="preserve"> рішення</w:t>
      </w:r>
      <w:r>
        <w:rPr>
          <w:i/>
          <w:color w:val="333333"/>
          <w:sz w:val="24"/>
          <w:szCs w:val="24"/>
          <w:shd w:val="clear" w:color="auto" w:fill="FFFFFF"/>
        </w:rPr>
        <w:t>:</w:t>
      </w:r>
    </w:p>
    <w:p w:rsidR="00997B39" w:rsidRPr="00216AC2" w:rsidRDefault="00997B39" w:rsidP="00471837">
      <w:pPr>
        <w:pStyle w:val="a4"/>
        <w:numPr>
          <w:ilvl w:val="1"/>
          <w:numId w:val="1"/>
        </w:numPr>
        <w:tabs>
          <w:tab w:val="left" w:pos="1276"/>
        </w:tabs>
        <w:ind w:left="284" w:firstLine="988"/>
        <w:rPr>
          <w:i/>
          <w:color w:val="333333"/>
          <w:sz w:val="24"/>
          <w:szCs w:val="24"/>
          <w:shd w:val="clear" w:color="auto" w:fill="FFFFFF"/>
        </w:rPr>
      </w:pPr>
      <w:r w:rsidRPr="00216AC2">
        <w:rPr>
          <w:i/>
          <w:color w:val="333333"/>
          <w:sz w:val="24"/>
          <w:szCs w:val="24"/>
          <w:shd w:val="clear" w:color="auto" w:fill="FFFFFF"/>
        </w:rPr>
        <w:t xml:space="preserve"> попередньо надати згоду на вчинення значних правочинів То</w:t>
      </w:r>
      <w:r w:rsidR="0039281D" w:rsidRPr="00216AC2">
        <w:rPr>
          <w:i/>
          <w:color w:val="333333"/>
          <w:sz w:val="24"/>
          <w:szCs w:val="24"/>
          <w:shd w:val="clear" w:color="auto" w:fill="FFFFFF"/>
        </w:rPr>
        <w:t>вариством протягом не більше як одного року з дати прийняття такого рішення, а саме договор</w:t>
      </w:r>
      <w:r w:rsidR="00471837" w:rsidRPr="00216AC2">
        <w:rPr>
          <w:i/>
          <w:color w:val="333333"/>
          <w:sz w:val="24"/>
          <w:szCs w:val="24"/>
          <w:shd w:val="clear" w:color="auto" w:fill="FFFFFF"/>
        </w:rPr>
        <w:t>ів</w:t>
      </w:r>
      <w:r w:rsidR="0039281D" w:rsidRPr="00216AC2">
        <w:rPr>
          <w:i/>
          <w:color w:val="333333"/>
          <w:sz w:val="24"/>
          <w:szCs w:val="24"/>
          <w:shd w:val="clear" w:color="auto" w:fill="FFFFFF"/>
        </w:rPr>
        <w:t xml:space="preserve"> купівлі-продажу рухомого та нерухомого майна на граничну сукупну вартість</w:t>
      </w:r>
      <w:r w:rsidR="00216AC2">
        <w:rPr>
          <w:i/>
          <w:color w:val="333333"/>
          <w:sz w:val="24"/>
          <w:szCs w:val="24"/>
          <w:shd w:val="clear" w:color="auto" w:fill="FFFFFF"/>
        </w:rPr>
        <w:t>,</w:t>
      </w:r>
      <w:r w:rsidR="00216AC2" w:rsidRPr="00216AC2">
        <w:rPr>
          <w:i/>
          <w:color w:val="333333"/>
          <w:sz w:val="24"/>
          <w:szCs w:val="24"/>
          <w:shd w:val="clear" w:color="auto" w:fill="FFFFFF"/>
        </w:rPr>
        <w:t xml:space="preserve"> що перевищує 25 відсотків, але менша ніж 50 відсотків вартості активів за даними останньої річної фінансової звітності Товариства</w:t>
      </w:r>
      <w:r w:rsidR="00471837" w:rsidRPr="00216AC2">
        <w:rPr>
          <w:i/>
          <w:color w:val="333333"/>
          <w:sz w:val="24"/>
          <w:szCs w:val="24"/>
          <w:shd w:val="clear" w:color="auto" w:fill="FFFFFF"/>
        </w:rPr>
        <w:t>;</w:t>
      </w:r>
    </w:p>
    <w:p w:rsidR="00216AC2" w:rsidRPr="00216AC2" w:rsidRDefault="00471837" w:rsidP="00E51B6D">
      <w:pPr>
        <w:pStyle w:val="a4"/>
        <w:numPr>
          <w:ilvl w:val="1"/>
          <w:numId w:val="1"/>
        </w:numPr>
        <w:tabs>
          <w:tab w:val="left" w:pos="1276"/>
        </w:tabs>
        <w:ind w:left="284" w:firstLine="988"/>
        <w:rPr>
          <w:i/>
          <w:sz w:val="24"/>
          <w:szCs w:val="24"/>
        </w:rPr>
      </w:pPr>
      <w:r w:rsidRPr="00216AC2">
        <w:rPr>
          <w:i/>
          <w:color w:val="333333"/>
          <w:sz w:val="24"/>
          <w:szCs w:val="24"/>
          <w:shd w:val="clear" w:color="auto" w:fill="FFFFFF"/>
        </w:rPr>
        <w:t xml:space="preserve"> попередньо надати згоду на вчинення значних правочинів Товариством протягом не більше як одного року з дати прийняття такого рішення, а саме договорів купівлі-продажу рухомого та нерухомого майна на граничну сукупну вартість</w:t>
      </w:r>
      <w:r w:rsidR="00216AC2" w:rsidRPr="00216AC2">
        <w:rPr>
          <w:i/>
          <w:color w:val="333333"/>
          <w:sz w:val="24"/>
          <w:szCs w:val="24"/>
          <w:shd w:val="clear" w:color="auto" w:fill="FFFFFF"/>
        </w:rPr>
        <w:t>, що становить 50 і більше відсотків вартості активів за даними останньої річної фінансової звітності Товариства.</w:t>
      </w:r>
    </w:p>
    <w:p w:rsidR="00471837" w:rsidRPr="00216AC2" w:rsidRDefault="00471837" w:rsidP="00216AC2">
      <w:pPr>
        <w:pStyle w:val="a4"/>
        <w:tabs>
          <w:tab w:val="left" w:pos="1276"/>
        </w:tabs>
        <w:ind w:left="284"/>
        <w:rPr>
          <w:i/>
          <w:sz w:val="24"/>
          <w:szCs w:val="24"/>
        </w:rPr>
      </w:pPr>
      <w:r w:rsidRPr="00216AC2">
        <w:rPr>
          <w:i/>
          <w:color w:val="333333"/>
          <w:sz w:val="24"/>
          <w:szCs w:val="24"/>
          <w:shd w:val="clear" w:color="auto" w:fill="FFFFFF"/>
        </w:rPr>
        <w:t xml:space="preserve"> </w:t>
      </w:r>
      <w:r w:rsidRPr="00216AC2">
        <w:rPr>
          <w:i/>
          <w:color w:val="333333"/>
          <w:sz w:val="24"/>
          <w:szCs w:val="24"/>
          <w:shd w:val="clear" w:color="auto" w:fill="FFFFFF"/>
        </w:rPr>
        <w:tab/>
      </w:r>
    </w:p>
    <w:p w:rsidR="00997B39" w:rsidRPr="00190AB0" w:rsidRDefault="00997B39" w:rsidP="00997B39">
      <w:pPr>
        <w:pStyle w:val="a4"/>
        <w:numPr>
          <w:ilvl w:val="0"/>
          <w:numId w:val="1"/>
        </w:numPr>
        <w:tabs>
          <w:tab w:val="left" w:pos="1276"/>
        </w:tabs>
        <w:ind w:hanging="49"/>
        <w:rPr>
          <w:sz w:val="24"/>
          <w:szCs w:val="24"/>
        </w:rPr>
      </w:pPr>
      <w:r w:rsidRPr="00190AB0">
        <w:rPr>
          <w:sz w:val="24"/>
          <w:szCs w:val="24"/>
        </w:rPr>
        <w:t>Припинення повноважень членів Наглядової ради Товариства.</w:t>
      </w:r>
    </w:p>
    <w:p w:rsidR="00997B39" w:rsidRPr="00190AB0" w:rsidRDefault="00997B39" w:rsidP="00997B39">
      <w:pPr>
        <w:pStyle w:val="a4"/>
        <w:tabs>
          <w:tab w:val="left" w:pos="1276"/>
        </w:tabs>
        <w:rPr>
          <w:sz w:val="24"/>
          <w:szCs w:val="24"/>
        </w:rPr>
      </w:pPr>
    </w:p>
    <w:p w:rsidR="00997B39" w:rsidRDefault="00997B39" w:rsidP="00997B39">
      <w:pPr>
        <w:pStyle w:val="a4"/>
        <w:tabs>
          <w:tab w:val="left" w:pos="1276"/>
        </w:tabs>
        <w:rPr>
          <w:i/>
          <w:sz w:val="24"/>
          <w:szCs w:val="24"/>
        </w:rPr>
      </w:pPr>
      <w:r w:rsidRPr="00190AB0">
        <w:rPr>
          <w:sz w:val="24"/>
          <w:szCs w:val="24"/>
        </w:rPr>
        <w:tab/>
      </w:r>
      <w:proofErr w:type="spellStart"/>
      <w:r w:rsidRPr="00190AB0">
        <w:rPr>
          <w:i/>
          <w:sz w:val="24"/>
          <w:szCs w:val="24"/>
          <w:u w:val="single"/>
        </w:rPr>
        <w:t>П</w:t>
      </w:r>
      <w:r>
        <w:rPr>
          <w:i/>
          <w:sz w:val="24"/>
          <w:szCs w:val="24"/>
          <w:u w:val="single"/>
        </w:rPr>
        <w:t>роє</w:t>
      </w:r>
      <w:r w:rsidRPr="00190AB0">
        <w:rPr>
          <w:i/>
          <w:sz w:val="24"/>
          <w:szCs w:val="24"/>
          <w:u w:val="single"/>
        </w:rPr>
        <w:t>кт</w:t>
      </w:r>
      <w:proofErr w:type="spellEnd"/>
      <w:r w:rsidRPr="00190AB0">
        <w:rPr>
          <w:i/>
          <w:sz w:val="24"/>
          <w:szCs w:val="24"/>
          <w:u w:val="single"/>
        </w:rPr>
        <w:t xml:space="preserve"> рішення</w:t>
      </w:r>
      <w:r w:rsidRPr="00190AB0">
        <w:rPr>
          <w:i/>
          <w:sz w:val="24"/>
          <w:szCs w:val="24"/>
        </w:rPr>
        <w:t xml:space="preserve">: </w:t>
      </w:r>
      <w:r>
        <w:rPr>
          <w:i/>
          <w:sz w:val="24"/>
          <w:szCs w:val="24"/>
        </w:rPr>
        <w:t>п</w:t>
      </w:r>
      <w:r w:rsidRPr="00190AB0">
        <w:rPr>
          <w:i/>
          <w:sz w:val="24"/>
          <w:szCs w:val="24"/>
        </w:rPr>
        <w:t xml:space="preserve">рипинити повноваження членів Наглядової ради Товариства Берегового Д.К., </w:t>
      </w:r>
      <w:proofErr w:type="spellStart"/>
      <w:r w:rsidRPr="00190AB0">
        <w:rPr>
          <w:i/>
          <w:sz w:val="24"/>
          <w:szCs w:val="24"/>
        </w:rPr>
        <w:t>Шавро</w:t>
      </w:r>
      <w:proofErr w:type="spellEnd"/>
      <w:r w:rsidRPr="00190AB0">
        <w:rPr>
          <w:i/>
          <w:sz w:val="24"/>
          <w:szCs w:val="24"/>
        </w:rPr>
        <w:t xml:space="preserve"> К.В., </w:t>
      </w:r>
      <w:proofErr w:type="spellStart"/>
      <w:r w:rsidRPr="00190AB0">
        <w:rPr>
          <w:i/>
          <w:sz w:val="24"/>
          <w:szCs w:val="24"/>
        </w:rPr>
        <w:t>Нікітко</w:t>
      </w:r>
      <w:proofErr w:type="spellEnd"/>
      <w:r w:rsidRPr="00190AB0">
        <w:rPr>
          <w:i/>
          <w:sz w:val="24"/>
          <w:szCs w:val="24"/>
        </w:rPr>
        <w:t xml:space="preserve"> І.А.</w:t>
      </w:r>
    </w:p>
    <w:p w:rsidR="00997B39" w:rsidRPr="00190AB0" w:rsidRDefault="00997B39" w:rsidP="00997B39">
      <w:pPr>
        <w:pStyle w:val="a4"/>
        <w:tabs>
          <w:tab w:val="left" w:pos="1276"/>
        </w:tabs>
        <w:rPr>
          <w:i/>
          <w:sz w:val="24"/>
          <w:szCs w:val="24"/>
        </w:rPr>
      </w:pPr>
    </w:p>
    <w:p w:rsidR="00997B39" w:rsidRDefault="00997B39" w:rsidP="00997B39">
      <w:pPr>
        <w:pStyle w:val="a4"/>
        <w:numPr>
          <w:ilvl w:val="0"/>
          <w:numId w:val="1"/>
        </w:numPr>
        <w:tabs>
          <w:tab w:val="left" w:pos="1276"/>
        </w:tabs>
        <w:ind w:left="0" w:firstLine="851"/>
        <w:rPr>
          <w:sz w:val="24"/>
          <w:szCs w:val="24"/>
        </w:rPr>
      </w:pPr>
      <w:r w:rsidRPr="00190AB0">
        <w:rPr>
          <w:sz w:val="24"/>
          <w:szCs w:val="24"/>
        </w:rPr>
        <w:t>Обрання членів Наглядової ради Товариства.</w:t>
      </w:r>
    </w:p>
    <w:p w:rsidR="00997B39" w:rsidRDefault="00997B39" w:rsidP="00997B39">
      <w:pPr>
        <w:pStyle w:val="a4"/>
        <w:tabs>
          <w:tab w:val="left" w:pos="1276"/>
        </w:tabs>
        <w:rPr>
          <w:sz w:val="24"/>
          <w:szCs w:val="24"/>
        </w:rPr>
      </w:pPr>
    </w:p>
    <w:p w:rsidR="00997B39" w:rsidRDefault="00997B39" w:rsidP="00997B39">
      <w:pPr>
        <w:pStyle w:val="a4"/>
        <w:tabs>
          <w:tab w:val="left" w:pos="1276"/>
        </w:tabs>
        <w:rPr>
          <w:i/>
          <w:sz w:val="24"/>
          <w:szCs w:val="24"/>
        </w:rPr>
      </w:pPr>
      <w:r>
        <w:rPr>
          <w:sz w:val="24"/>
          <w:szCs w:val="24"/>
        </w:rPr>
        <w:tab/>
      </w:r>
      <w:proofErr w:type="spellStart"/>
      <w:r w:rsidRPr="00190AB0">
        <w:rPr>
          <w:i/>
          <w:sz w:val="24"/>
          <w:szCs w:val="24"/>
          <w:u w:val="single"/>
        </w:rPr>
        <w:t>П</w:t>
      </w:r>
      <w:r>
        <w:rPr>
          <w:i/>
          <w:sz w:val="24"/>
          <w:szCs w:val="24"/>
          <w:u w:val="single"/>
        </w:rPr>
        <w:t>роє</w:t>
      </w:r>
      <w:r w:rsidRPr="00190AB0">
        <w:rPr>
          <w:i/>
          <w:sz w:val="24"/>
          <w:szCs w:val="24"/>
          <w:u w:val="single"/>
        </w:rPr>
        <w:t>кт</w:t>
      </w:r>
      <w:proofErr w:type="spellEnd"/>
      <w:r w:rsidRPr="00190AB0">
        <w:rPr>
          <w:i/>
          <w:sz w:val="24"/>
          <w:szCs w:val="24"/>
          <w:u w:val="single"/>
        </w:rPr>
        <w:t xml:space="preserve"> рішення</w:t>
      </w:r>
      <w:r w:rsidRPr="00190AB0">
        <w:rPr>
          <w:i/>
          <w:sz w:val="24"/>
          <w:szCs w:val="24"/>
        </w:rPr>
        <w:t>:</w:t>
      </w:r>
      <w:r>
        <w:rPr>
          <w:i/>
          <w:sz w:val="24"/>
          <w:szCs w:val="24"/>
        </w:rPr>
        <w:t xml:space="preserve"> обрання членів Наглядової ради Товариства здійснюється шляхом кумулятивного голосування.</w:t>
      </w:r>
    </w:p>
    <w:p w:rsidR="00997B39" w:rsidRPr="00190AB0" w:rsidRDefault="00997B39" w:rsidP="00997B39">
      <w:pPr>
        <w:pStyle w:val="a4"/>
        <w:tabs>
          <w:tab w:val="left" w:pos="1276"/>
        </w:tabs>
        <w:rPr>
          <w:sz w:val="24"/>
          <w:szCs w:val="24"/>
        </w:rPr>
      </w:pPr>
    </w:p>
    <w:p w:rsidR="00997B39" w:rsidRDefault="00997B39" w:rsidP="00997B39">
      <w:pPr>
        <w:pStyle w:val="a4"/>
        <w:numPr>
          <w:ilvl w:val="0"/>
          <w:numId w:val="1"/>
        </w:numPr>
        <w:tabs>
          <w:tab w:val="left" w:pos="1276"/>
        </w:tabs>
        <w:ind w:left="0" w:firstLine="851"/>
        <w:rPr>
          <w:sz w:val="24"/>
          <w:szCs w:val="24"/>
        </w:rPr>
      </w:pPr>
      <w:r w:rsidRPr="00190AB0">
        <w:rPr>
          <w:sz w:val="24"/>
          <w:szCs w:val="24"/>
        </w:rPr>
        <w:t>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997B39" w:rsidRPr="00190AB0" w:rsidRDefault="00997B39" w:rsidP="00997B39">
      <w:pPr>
        <w:pStyle w:val="a4"/>
        <w:tabs>
          <w:tab w:val="left" w:pos="1276"/>
        </w:tabs>
        <w:ind w:left="851"/>
        <w:rPr>
          <w:sz w:val="24"/>
          <w:szCs w:val="24"/>
        </w:rPr>
      </w:pPr>
    </w:p>
    <w:p w:rsidR="00997B39" w:rsidRDefault="00997B39" w:rsidP="00997B39">
      <w:pPr>
        <w:pStyle w:val="a4"/>
        <w:tabs>
          <w:tab w:val="left" w:pos="1276"/>
        </w:tabs>
        <w:ind w:left="900"/>
        <w:rPr>
          <w:i/>
          <w:sz w:val="24"/>
          <w:szCs w:val="24"/>
        </w:rPr>
      </w:pPr>
      <w:proofErr w:type="spellStart"/>
      <w:r w:rsidRPr="00190AB0">
        <w:rPr>
          <w:i/>
          <w:sz w:val="24"/>
          <w:szCs w:val="24"/>
          <w:u w:val="single"/>
        </w:rPr>
        <w:t>П</w:t>
      </w:r>
      <w:r>
        <w:rPr>
          <w:i/>
          <w:sz w:val="24"/>
          <w:szCs w:val="24"/>
          <w:u w:val="single"/>
        </w:rPr>
        <w:t>роє</w:t>
      </w:r>
      <w:r w:rsidRPr="00190AB0">
        <w:rPr>
          <w:i/>
          <w:sz w:val="24"/>
          <w:szCs w:val="24"/>
          <w:u w:val="single"/>
        </w:rPr>
        <w:t>кт</w:t>
      </w:r>
      <w:proofErr w:type="spellEnd"/>
      <w:r w:rsidRPr="00190AB0">
        <w:rPr>
          <w:i/>
          <w:sz w:val="24"/>
          <w:szCs w:val="24"/>
          <w:u w:val="single"/>
        </w:rPr>
        <w:t xml:space="preserve"> рішення</w:t>
      </w:r>
      <w:r w:rsidRPr="00190AB0">
        <w:rPr>
          <w:i/>
          <w:sz w:val="24"/>
          <w:szCs w:val="24"/>
        </w:rPr>
        <w:t>:</w:t>
      </w:r>
      <w:r>
        <w:rPr>
          <w:i/>
          <w:sz w:val="24"/>
          <w:szCs w:val="24"/>
        </w:rPr>
        <w:t xml:space="preserve"> </w:t>
      </w:r>
    </w:p>
    <w:p w:rsidR="00997B39" w:rsidRDefault="00997B39" w:rsidP="00997B39">
      <w:pPr>
        <w:pStyle w:val="a4"/>
        <w:numPr>
          <w:ilvl w:val="0"/>
          <w:numId w:val="2"/>
        </w:numPr>
        <w:tabs>
          <w:tab w:val="left" w:pos="1276"/>
        </w:tabs>
        <w:rPr>
          <w:i/>
          <w:sz w:val="24"/>
          <w:szCs w:val="24"/>
        </w:rPr>
      </w:pPr>
      <w:r>
        <w:rPr>
          <w:i/>
          <w:sz w:val="24"/>
          <w:szCs w:val="24"/>
        </w:rPr>
        <w:t>Затвердити умови договорів, що укладатимуться з членами Наглядової ради Товариства.</w:t>
      </w:r>
    </w:p>
    <w:p w:rsidR="00997B39" w:rsidRDefault="00997B39" w:rsidP="00997B39">
      <w:pPr>
        <w:pStyle w:val="a4"/>
        <w:numPr>
          <w:ilvl w:val="0"/>
          <w:numId w:val="2"/>
        </w:numPr>
        <w:tabs>
          <w:tab w:val="left" w:pos="1276"/>
        </w:tabs>
        <w:rPr>
          <w:i/>
          <w:sz w:val="24"/>
          <w:szCs w:val="24"/>
        </w:rPr>
      </w:pPr>
      <w:r>
        <w:rPr>
          <w:i/>
          <w:sz w:val="24"/>
          <w:szCs w:val="24"/>
        </w:rPr>
        <w:t xml:space="preserve">Винагороди, в тому числі у натуральній формі, за виконання </w:t>
      </w:r>
      <w:proofErr w:type="spellStart"/>
      <w:r>
        <w:rPr>
          <w:i/>
          <w:sz w:val="24"/>
          <w:szCs w:val="24"/>
        </w:rPr>
        <w:t>обов</w:t>
      </w:r>
      <w:proofErr w:type="spellEnd"/>
      <w:r w:rsidRPr="00614F3D">
        <w:rPr>
          <w:i/>
          <w:sz w:val="24"/>
          <w:szCs w:val="24"/>
          <w:lang w:val="ru-RU"/>
        </w:rPr>
        <w:t>’</w:t>
      </w:r>
      <w:proofErr w:type="spellStart"/>
      <w:r>
        <w:rPr>
          <w:i/>
          <w:sz w:val="24"/>
          <w:szCs w:val="24"/>
        </w:rPr>
        <w:t>язків</w:t>
      </w:r>
      <w:proofErr w:type="spellEnd"/>
      <w:r>
        <w:rPr>
          <w:i/>
          <w:sz w:val="24"/>
          <w:szCs w:val="24"/>
        </w:rPr>
        <w:t xml:space="preserve"> члени Наглядової ради не отримують.</w:t>
      </w:r>
    </w:p>
    <w:p w:rsidR="00997B39" w:rsidRPr="00190AB0" w:rsidRDefault="00997B39" w:rsidP="00997B39">
      <w:pPr>
        <w:pStyle w:val="a4"/>
        <w:numPr>
          <w:ilvl w:val="0"/>
          <w:numId w:val="2"/>
        </w:numPr>
        <w:tabs>
          <w:tab w:val="left" w:pos="1276"/>
        </w:tabs>
        <w:rPr>
          <w:i/>
          <w:sz w:val="24"/>
          <w:szCs w:val="24"/>
        </w:rPr>
      </w:pPr>
      <w:r>
        <w:rPr>
          <w:i/>
          <w:sz w:val="24"/>
          <w:szCs w:val="24"/>
        </w:rPr>
        <w:t>Уповноважити Директора Товариства Стрілко В.М. на підписання договорів з членами Наглядової ради.</w:t>
      </w:r>
    </w:p>
    <w:p w:rsidR="00997B39" w:rsidRPr="00190AB0" w:rsidRDefault="00997B39" w:rsidP="00997B39">
      <w:pPr>
        <w:pStyle w:val="a4"/>
        <w:tabs>
          <w:tab w:val="left" w:pos="1276"/>
        </w:tabs>
        <w:rPr>
          <w:sz w:val="24"/>
          <w:szCs w:val="24"/>
        </w:rPr>
      </w:pPr>
      <w:r>
        <w:rPr>
          <w:sz w:val="24"/>
          <w:szCs w:val="24"/>
        </w:rPr>
        <w:t xml:space="preserve">  </w:t>
      </w:r>
    </w:p>
    <w:p w:rsidR="00997B39" w:rsidRPr="00174060" w:rsidRDefault="00997B39" w:rsidP="00997B39">
      <w:pPr>
        <w:pStyle w:val="a9"/>
        <w:spacing w:before="0" w:beforeAutospacing="0" w:after="0" w:afterAutospacing="0"/>
        <w:ind w:firstLine="680"/>
        <w:jc w:val="both"/>
        <w:rPr>
          <w:color w:val="000000"/>
        </w:rPr>
      </w:pPr>
      <w:r w:rsidRPr="00174060">
        <w:rPr>
          <w:color w:val="000000"/>
        </w:rPr>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997B39" w:rsidRPr="00174060" w:rsidRDefault="00997B39" w:rsidP="00997B39">
      <w:pPr>
        <w:pStyle w:val="a9"/>
        <w:spacing w:before="0" w:beforeAutospacing="0" w:after="0" w:afterAutospacing="0"/>
        <w:ind w:firstLine="680"/>
        <w:jc w:val="both"/>
        <w:rPr>
          <w:color w:val="000000"/>
        </w:rPr>
      </w:pPr>
      <w:r w:rsidRPr="00174060">
        <w:rPr>
          <w:color w:val="000000"/>
        </w:rPr>
        <w:t>керівник акціонера-юридичної особи –  витяг із Єдиного державного реєстру юридичних осіб, фізичних осіб-підприємців та громадських формувань, копію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 представник акціонера за довіреністю – посвідчену згідно із законодавством України довіреність, яка надає представнику право на участь та голосування на загальних зборах Товариства.</w:t>
      </w:r>
    </w:p>
    <w:p w:rsidR="00997B39" w:rsidRPr="00174060" w:rsidRDefault="00997B39" w:rsidP="00997B39">
      <w:pPr>
        <w:pStyle w:val="a9"/>
        <w:spacing w:before="0" w:beforeAutospacing="0" w:after="0" w:afterAutospacing="0"/>
        <w:ind w:firstLine="680"/>
        <w:jc w:val="both"/>
        <w:rPr>
          <w:color w:val="000000"/>
        </w:rPr>
      </w:pPr>
      <w:r w:rsidRPr="00174060">
        <w:rPr>
          <w:color w:val="000000"/>
        </w:rPr>
        <w:lastRenderedPageBreak/>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w:t>
      </w:r>
      <w:r>
        <w:rPr>
          <w:color w:val="000000"/>
        </w:rPr>
        <w:t>Директора</w:t>
      </w:r>
      <w:r w:rsidRPr="00174060">
        <w:rPr>
          <w:color w:val="000000"/>
        </w:rPr>
        <w:t xml:space="preserve">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Pr>
          <w:color w:val="000000"/>
        </w:rPr>
        <w:t xml:space="preserve"> </w:t>
      </w:r>
      <w:r w:rsidRPr="00174060">
        <w:rPr>
          <w:color w:val="000000"/>
        </w:rPr>
        <w:t>Представник акціонера голосує на загальних зборах на свій розсуд або згідно з завданням щодо голосування, виданим акціонером.</w:t>
      </w:r>
    </w:p>
    <w:p w:rsidR="00997B39" w:rsidRPr="00174060" w:rsidRDefault="00997B39" w:rsidP="00997B39">
      <w:pPr>
        <w:pStyle w:val="a4"/>
        <w:ind w:firstLine="680"/>
        <w:rPr>
          <w:sz w:val="24"/>
          <w:szCs w:val="24"/>
        </w:rPr>
      </w:pPr>
      <w:r w:rsidRPr="00174060">
        <w:rPr>
          <w:sz w:val="24"/>
          <w:szCs w:val="24"/>
        </w:rPr>
        <w:t>Під час підготовки до загальних зборів акціонери та їх представники можуть ознайомитись з матеріалами (документами), необхідними дл</w:t>
      </w:r>
      <w:r>
        <w:rPr>
          <w:sz w:val="24"/>
          <w:szCs w:val="24"/>
        </w:rPr>
        <w:t xml:space="preserve">я прийняття рішень з питань </w:t>
      </w:r>
      <w:proofErr w:type="spellStart"/>
      <w:r>
        <w:rPr>
          <w:sz w:val="24"/>
          <w:szCs w:val="24"/>
        </w:rPr>
        <w:t>проєкту</w:t>
      </w:r>
      <w:proofErr w:type="spellEnd"/>
      <w:r>
        <w:rPr>
          <w:sz w:val="24"/>
          <w:szCs w:val="24"/>
        </w:rPr>
        <w:t xml:space="preserve"> порядку денного та </w:t>
      </w:r>
      <w:proofErr w:type="spellStart"/>
      <w:r>
        <w:rPr>
          <w:sz w:val="24"/>
          <w:szCs w:val="24"/>
        </w:rPr>
        <w:t>проє</w:t>
      </w:r>
      <w:r w:rsidRPr="00174060">
        <w:rPr>
          <w:sz w:val="24"/>
          <w:szCs w:val="24"/>
        </w:rPr>
        <w:t>ктами</w:t>
      </w:r>
      <w:proofErr w:type="spellEnd"/>
      <w:r w:rsidRPr="00174060">
        <w:rPr>
          <w:sz w:val="24"/>
          <w:szCs w:val="24"/>
        </w:rPr>
        <w:t xml:space="preserve"> рішень з питань, що виносяться на голосування, за </w:t>
      </w:r>
      <w:proofErr w:type="spellStart"/>
      <w:r w:rsidRPr="00174060">
        <w:rPr>
          <w:sz w:val="24"/>
          <w:szCs w:val="24"/>
        </w:rPr>
        <w:t>адресою</w:t>
      </w:r>
      <w:proofErr w:type="spellEnd"/>
      <w:r w:rsidRPr="00174060">
        <w:rPr>
          <w:sz w:val="24"/>
          <w:szCs w:val="24"/>
        </w:rPr>
        <w:t xml:space="preserve">: вул. </w:t>
      </w:r>
      <w:proofErr w:type="spellStart"/>
      <w:r w:rsidRPr="00174060">
        <w:rPr>
          <w:sz w:val="24"/>
          <w:szCs w:val="24"/>
        </w:rPr>
        <w:t>Липіврізька</w:t>
      </w:r>
      <w:proofErr w:type="spellEnd"/>
      <w:r w:rsidRPr="00174060">
        <w:rPr>
          <w:sz w:val="24"/>
          <w:szCs w:val="24"/>
        </w:rPr>
        <w:t xml:space="preserve">, буд. 53, </w:t>
      </w:r>
      <w:proofErr w:type="spellStart"/>
      <w:r w:rsidRPr="00174060">
        <w:rPr>
          <w:sz w:val="24"/>
          <w:szCs w:val="24"/>
        </w:rPr>
        <w:t>м.Ніжин</w:t>
      </w:r>
      <w:proofErr w:type="spellEnd"/>
      <w:r w:rsidRPr="00174060">
        <w:rPr>
          <w:sz w:val="24"/>
          <w:szCs w:val="24"/>
        </w:rPr>
        <w:t>, Чернігівська обл., 16600 (кабінет бухгалтерії) у робочі дні з 08:00 до 12:00. В день проведення зборів акціонери та їх представники можуть ознайомитись з документами, необхідними дл</w:t>
      </w:r>
      <w:r>
        <w:rPr>
          <w:sz w:val="24"/>
          <w:szCs w:val="24"/>
        </w:rPr>
        <w:t xml:space="preserve">я прийняття рішень з питань </w:t>
      </w:r>
      <w:proofErr w:type="spellStart"/>
      <w:r>
        <w:rPr>
          <w:sz w:val="24"/>
          <w:szCs w:val="24"/>
        </w:rPr>
        <w:t>проє</w:t>
      </w:r>
      <w:r w:rsidRPr="00174060">
        <w:rPr>
          <w:sz w:val="24"/>
          <w:szCs w:val="24"/>
        </w:rPr>
        <w:t>кту</w:t>
      </w:r>
      <w:proofErr w:type="spellEnd"/>
      <w:r w:rsidRPr="00174060">
        <w:rPr>
          <w:sz w:val="24"/>
          <w:szCs w:val="24"/>
        </w:rPr>
        <w:t xml:space="preserve"> порядку денного, за місцем проведення загальних зборів. Відповідальна посадова особа за порядок ознайомлення акціонерів з документами: Директор Стрілко Володимир Миколайович. </w:t>
      </w:r>
    </w:p>
    <w:p w:rsidR="00997B39" w:rsidRPr="00174060" w:rsidRDefault="00997B39" w:rsidP="00997B39">
      <w:pPr>
        <w:pStyle w:val="a4"/>
        <w:ind w:firstLine="680"/>
        <w:rPr>
          <w:sz w:val="24"/>
          <w:szCs w:val="24"/>
        </w:rPr>
      </w:pPr>
      <w:r w:rsidRPr="00174060">
        <w:rPr>
          <w:sz w:val="24"/>
          <w:szCs w:val="24"/>
        </w:rPr>
        <w:t>Акціонери мають право до дати проведення загальних зборів направляти Товариству письмові запитанн</w:t>
      </w:r>
      <w:r>
        <w:rPr>
          <w:sz w:val="24"/>
          <w:szCs w:val="24"/>
        </w:rPr>
        <w:t xml:space="preserve">я щодо питань, включених до </w:t>
      </w:r>
      <w:proofErr w:type="spellStart"/>
      <w:r>
        <w:rPr>
          <w:sz w:val="24"/>
          <w:szCs w:val="24"/>
        </w:rPr>
        <w:t>проє</w:t>
      </w:r>
      <w:r w:rsidRPr="00174060">
        <w:rPr>
          <w:sz w:val="24"/>
          <w:szCs w:val="24"/>
        </w:rPr>
        <w:t>кту</w:t>
      </w:r>
      <w:proofErr w:type="spellEnd"/>
      <w:r w:rsidRPr="00174060">
        <w:rPr>
          <w:sz w:val="24"/>
          <w:szCs w:val="24"/>
        </w:rPr>
        <w:t xml:space="preserve"> порядку денного загальних зборів та порядку денного загальних зборів.</w:t>
      </w:r>
    </w:p>
    <w:p w:rsidR="00997B39" w:rsidRPr="00174060" w:rsidRDefault="00997B39" w:rsidP="00997B39">
      <w:pPr>
        <w:pStyle w:val="a4"/>
        <w:ind w:firstLine="680"/>
        <w:rPr>
          <w:sz w:val="24"/>
          <w:szCs w:val="24"/>
        </w:rPr>
      </w:pPr>
      <w:r w:rsidRPr="00174060">
        <w:rPr>
          <w:sz w:val="24"/>
          <w:szCs w:val="24"/>
        </w:rPr>
        <w:t xml:space="preserve">Акціонери мають </w:t>
      </w:r>
      <w:r>
        <w:rPr>
          <w:sz w:val="24"/>
          <w:szCs w:val="24"/>
        </w:rPr>
        <w:t xml:space="preserve">право вносити пропозиції до </w:t>
      </w:r>
      <w:proofErr w:type="spellStart"/>
      <w:r>
        <w:rPr>
          <w:sz w:val="24"/>
          <w:szCs w:val="24"/>
        </w:rPr>
        <w:t>проє</w:t>
      </w:r>
      <w:r w:rsidRPr="00174060">
        <w:rPr>
          <w:sz w:val="24"/>
          <w:szCs w:val="24"/>
        </w:rPr>
        <w:t>кту</w:t>
      </w:r>
      <w:proofErr w:type="spellEnd"/>
      <w:r w:rsidRPr="00174060">
        <w:rPr>
          <w:sz w:val="24"/>
          <w:szCs w:val="24"/>
        </w:rPr>
        <w:t xml:space="preserve"> порядку денного загальних зборів не пізніше ніж за 20 днів до дня проведення загальних зборів. Пропозиції подаються в письмовій формі на адресу за місцезнаходженням Товариства та мають містити прізвище, </w:t>
      </w:r>
      <w:proofErr w:type="spellStart"/>
      <w:r w:rsidRPr="00174060">
        <w:rPr>
          <w:sz w:val="24"/>
          <w:szCs w:val="24"/>
        </w:rPr>
        <w:t>ім</w:t>
      </w:r>
      <w:proofErr w:type="spellEnd"/>
      <w:r w:rsidRPr="00174060">
        <w:rPr>
          <w:sz w:val="24"/>
          <w:szCs w:val="24"/>
          <w:lang w:val="ru-RU"/>
        </w:rPr>
        <w:t>’</w:t>
      </w:r>
      <w:r w:rsidRPr="00174060">
        <w:rPr>
          <w:sz w:val="24"/>
          <w:szCs w:val="24"/>
        </w:rPr>
        <w:t>я, по батькові або найменування акціонера (</w:t>
      </w:r>
      <w:proofErr w:type="spellStart"/>
      <w:r w:rsidRPr="00174060">
        <w:rPr>
          <w:sz w:val="24"/>
          <w:szCs w:val="24"/>
        </w:rPr>
        <w:t>ів</w:t>
      </w:r>
      <w:proofErr w:type="spellEnd"/>
      <w:r w:rsidRPr="00174060">
        <w:rPr>
          <w:sz w:val="24"/>
          <w:szCs w:val="24"/>
        </w:rPr>
        <w:t>), я</w:t>
      </w:r>
      <w:r>
        <w:rPr>
          <w:sz w:val="24"/>
          <w:szCs w:val="24"/>
        </w:rPr>
        <w:t>кий її вносить, кількість та тип</w:t>
      </w:r>
      <w:r w:rsidRPr="00174060">
        <w:rPr>
          <w:sz w:val="24"/>
          <w:szCs w:val="24"/>
        </w:rPr>
        <w:t xml:space="preserve"> належних йому акцій, запропонова</w:t>
      </w:r>
      <w:r>
        <w:rPr>
          <w:sz w:val="24"/>
          <w:szCs w:val="24"/>
        </w:rPr>
        <w:t xml:space="preserve">не питання для включення до </w:t>
      </w:r>
      <w:proofErr w:type="spellStart"/>
      <w:r>
        <w:rPr>
          <w:sz w:val="24"/>
          <w:szCs w:val="24"/>
        </w:rPr>
        <w:t>проєкту</w:t>
      </w:r>
      <w:proofErr w:type="spellEnd"/>
      <w:r>
        <w:rPr>
          <w:sz w:val="24"/>
          <w:szCs w:val="24"/>
        </w:rPr>
        <w:t xml:space="preserve"> порядку денного з </w:t>
      </w:r>
      <w:proofErr w:type="spellStart"/>
      <w:r>
        <w:rPr>
          <w:sz w:val="24"/>
          <w:szCs w:val="24"/>
        </w:rPr>
        <w:t>проєктом</w:t>
      </w:r>
      <w:proofErr w:type="spellEnd"/>
      <w:r>
        <w:rPr>
          <w:sz w:val="24"/>
          <w:szCs w:val="24"/>
        </w:rPr>
        <w:t xml:space="preserve"> рішення та/або </w:t>
      </w:r>
      <w:proofErr w:type="spellStart"/>
      <w:r>
        <w:rPr>
          <w:sz w:val="24"/>
          <w:szCs w:val="24"/>
        </w:rPr>
        <w:t>проє</w:t>
      </w:r>
      <w:r w:rsidRPr="00174060">
        <w:rPr>
          <w:sz w:val="24"/>
          <w:szCs w:val="24"/>
        </w:rPr>
        <w:t>кт</w:t>
      </w:r>
      <w:proofErr w:type="spellEnd"/>
      <w:r w:rsidRPr="00174060">
        <w:rPr>
          <w:sz w:val="24"/>
          <w:szCs w:val="24"/>
        </w:rPr>
        <w:t xml:space="preserve"> рішенн</w:t>
      </w:r>
      <w:r>
        <w:rPr>
          <w:sz w:val="24"/>
          <w:szCs w:val="24"/>
        </w:rPr>
        <w:t xml:space="preserve">я до питання, включеного до </w:t>
      </w:r>
      <w:proofErr w:type="spellStart"/>
      <w:r>
        <w:rPr>
          <w:sz w:val="24"/>
          <w:szCs w:val="24"/>
        </w:rPr>
        <w:t>проє</w:t>
      </w:r>
      <w:r w:rsidRPr="00174060">
        <w:rPr>
          <w:sz w:val="24"/>
          <w:szCs w:val="24"/>
        </w:rPr>
        <w:t>кту</w:t>
      </w:r>
      <w:proofErr w:type="spellEnd"/>
      <w:r w:rsidRPr="00174060">
        <w:rPr>
          <w:sz w:val="24"/>
          <w:szCs w:val="24"/>
        </w:rPr>
        <w:t xml:space="preserve"> порядку денного, та іншу інформацію, передбачену законодавством України. Акціонери у встановлений законодавством України строк мають право оскаржувати до суду рішення про відмову  у</w:t>
      </w:r>
      <w:r>
        <w:rPr>
          <w:sz w:val="24"/>
          <w:szCs w:val="24"/>
        </w:rPr>
        <w:t xml:space="preserve"> включенні їх пропозицій до </w:t>
      </w:r>
      <w:proofErr w:type="spellStart"/>
      <w:r>
        <w:rPr>
          <w:sz w:val="24"/>
          <w:szCs w:val="24"/>
        </w:rPr>
        <w:t>проє</w:t>
      </w:r>
      <w:r w:rsidRPr="00174060">
        <w:rPr>
          <w:sz w:val="24"/>
          <w:szCs w:val="24"/>
        </w:rPr>
        <w:t>кту</w:t>
      </w:r>
      <w:proofErr w:type="spellEnd"/>
      <w:r w:rsidRPr="00174060">
        <w:rPr>
          <w:sz w:val="24"/>
          <w:szCs w:val="24"/>
        </w:rPr>
        <w:t xml:space="preserve"> порядку денного загальних зборів.</w:t>
      </w:r>
    </w:p>
    <w:p w:rsidR="00997B39" w:rsidRDefault="00997B39" w:rsidP="00997B39">
      <w:pPr>
        <w:pStyle w:val="a4"/>
        <w:ind w:firstLine="851"/>
        <w:rPr>
          <w:sz w:val="24"/>
          <w:szCs w:val="24"/>
          <w:lang w:val="ru-RU"/>
        </w:rPr>
      </w:pPr>
      <w:r w:rsidRPr="00174060">
        <w:rPr>
          <w:sz w:val="24"/>
          <w:szCs w:val="24"/>
        </w:rPr>
        <w:t>З</w:t>
      </w:r>
      <w:r>
        <w:rPr>
          <w:sz w:val="24"/>
          <w:szCs w:val="24"/>
        </w:rPr>
        <w:t>а</w:t>
      </w:r>
      <w:r w:rsidRPr="00174060">
        <w:rPr>
          <w:sz w:val="24"/>
          <w:szCs w:val="24"/>
        </w:rPr>
        <w:t xml:space="preserve"> роз’ясненнями та </w:t>
      </w:r>
      <w:r>
        <w:rPr>
          <w:sz w:val="24"/>
          <w:szCs w:val="24"/>
        </w:rPr>
        <w:t xml:space="preserve">з </w:t>
      </w:r>
      <w:r w:rsidRPr="00174060">
        <w:rPr>
          <w:sz w:val="24"/>
          <w:szCs w:val="24"/>
        </w:rPr>
        <w:t>питаннями щодо по</w:t>
      </w:r>
      <w:r>
        <w:rPr>
          <w:sz w:val="24"/>
          <w:szCs w:val="24"/>
        </w:rPr>
        <w:t xml:space="preserve">рядку подання пропозицій до </w:t>
      </w:r>
      <w:proofErr w:type="spellStart"/>
      <w:r>
        <w:rPr>
          <w:sz w:val="24"/>
          <w:szCs w:val="24"/>
        </w:rPr>
        <w:t>проє</w:t>
      </w:r>
      <w:r w:rsidRPr="00174060">
        <w:rPr>
          <w:sz w:val="24"/>
          <w:szCs w:val="24"/>
        </w:rPr>
        <w:t>кту</w:t>
      </w:r>
      <w:proofErr w:type="spellEnd"/>
      <w:r w:rsidRPr="00174060">
        <w:rPr>
          <w:sz w:val="24"/>
          <w:szCs w:val="24"/>
        </w:rPr>
        <w:t xml:space="preserve"> порядку денного акціонери можуть звертатись до директора Стрілко В.М. за телефонами: (04631) 4-25-62, (050) 133-75-00. Адреса веб-сайту, на яком</w:t>
      </w:r>
      <w:r>
        <w:rPr>
          <w:sz w:val="24"/>
          <w:szCs w:val="24"/>
        </w:rPr>
        <w:t xml:space="preserve">у розміщена інформація з </w:t>
      </w:r>
      <w:proofErr w:type="spellStart"/>
      <w:r>
        <w:rPr>
          <w:sz w:val="24"/>
          <w:szCs w:val="24"/>
        </w:rPr>
        <w:t>проє</w:t>
      </w:r>
      <w:r w:rsidRPr="00174060">
        <w:rPr>
          <w:sz w:val="24"/>
          <w:szCs w:val="24"/>
        </w:rPr>
        <w:t>ктом</w:t>
      </w:r>
      <w:proofErr w:type="spellEnd"/>
      <w:r w:rsidRPr="00174060">
        <w:rPr>
          <w:sz w:val="24"/>
          <w:szCs w:val="24"/>
        </w:rPr>
        <w:t xml:space="preserve"> рішень до кожного із питань, включеного до проекту порядку денного: </w:t>
      </w:r>
      <w:hyperlink r:id="rId7" w:history="1">
        <w:r w:rsidRPr="00A5131B">
          <w:rPr>
            <w:rStyle w:val="a3"/>
            <w:sz w:val="24"/>
            <w:szCs w:val="24"/>
            <w:lang w:val="en-US"/>
          </w:rPr>
          <w:t>http</w:t>
        </w:r>
        <w:r w:rsidRPr="00A5131B">
          <w:rPr>
            <w:rStyle w:val="a3"/>
            <w:sz w:val="24"/>
            <w:szCs w:val="24"/>
          </w:rPr>
          <w:t>://</w:t>
        </w:r>
        <w:proofErr w:type="spellStart"/>
        <w:r w:rsidRPr="00A5131B">
          <w:rPr>
            <w:rStyle w:val="a3"/>
            <w:sz w:val="24"/>
            <w:szCs w:val="24"/>
            <w:lang w:val="en-US"/>
          </w:rPr>
          <w:t>nizhyn</w:t>
        </w:r>
        <w:proofErr w:type="spellEnd"/>
        <w:r w:rsidRPr="00A5131B">
          <w:rPr>
            <w:rStyle w:val="a3"/>
            <w:sz w:val="24"/>
            <w:szCs w:val="24"/>
          </w:rPr>
          <w:t>-</w:t>
        </w:r>
        <w:proofErr w:type="spellStart"/>
        <w:r w:rsidRPr="00A5131B">
          <w:rPr>
            <w:rStyle w:val="a3"/>
            <w:sz w:val="24"/>
            <w:szCs w:val="24"/>
            <w:lang w:val="en-US"/>
          </w:rPr>
          <w:t>meb</w:t>
        </w:r>
        <w:proofErr w:type="spellEnd"/>
        <w:r w:rsidRPr="00A5131B">
          <w:rPr>
            <w:rStyle w:val="a3"/>
            <w:sz w:val="24"/>
            <w:szCs w:val="24"/>
          </w:rPr>
          <w:t>.</w:t>
        </w:r>
        <w:r w:rsidRPr="00A5131B">
          <w:rPr>
            <w:rStyle w:val="a3"/>
            <w:sz w:val="24"/>
            <w:szCs w:val="24"/>
            <w:lang w:val="en-US"/>
          </w:rPr>
          <w:t>pat</w:t>
        </w:r>
        <w:r w:rsidRPr="00A5131B">
          <w:rPr>
            <w:rStyle w:val="a3"/>
            <w:sz w:val="24"/>
            <w:szCs w:val="24"/>
          </w:rPr>
          <w:t>.</w:t>
        </w:r>
        <w:proofErr w:type="spellStart"/>
        <w:r w:rsidRPr="00A5131B">
          <w:rPr>
            <w:rStyle w:val="a3"/>
            <w:sz w:val="24"/>
            <w:szCs w:val="24"/>
            <w:lang w:val="en-US"/>
          </w:rPr>
          <w:t>ua</w:t>
        </w:r>
        <w:proofErr w:type="spellEnd"/>
        <w:r w:rsidRPr="00A5131B">
          <w:rPr>
            <w:rStyle w:val="a3"/>
            <w:sz w:val="24"/>
            <w:szCs w:val="24"/>
          </w:rPr>
          <w:t>/</w:t>
        </w:r>
      </w:hyperlink>
      <w:r w:rsidRPr="00174060">
        <w:rPr>
          <w:sz w:val="24"/>
          <w:szCs w:val="24"/>
          <w:lang w:val="ru-RU"/>
        </w:rPr>
        <w:t>.</w:t>
      </w:r>
    </w:p>
    <w:p w:rsidR="00997B39" w:rsidRPr="00174060" w:rsidRDefault="00997B39" w:rsidP="00997B39">
      <w:pPr>
        <w:pStyle w:val="a4"/>
        <w:rPr>
          <w:sz w:val="24"/>
          <w:szCs w:val="24"/>
          <w:lang w:val="ru-RU"/>
        </w:rPr>
      </w:pPr>
    </w:p>
    <w:p w:rsidR="00997B39" w:rsidRDefault="00997B39" w:rsidP="00997B39">
      <w:pPr>
        <w:pStyle w:val="a4"/>
        <w:ind w:firstLine="851"/>
        <w:jc w:val="left"/>
        <w:rPr>
          <w:i/>
          <w:color w:val="000000"/>
          <w:sz w:val="24"/>
          <w:szCs w:val="24"/>
        </w:rPr>
      </w:pPr>
      <w:r w:rsidRPr="00D36933">
        <w:rPr>
          <w:b/>
          <w:color w:val="000000"/>
          <w:sz w:val="24"/>
          <w:szCs w:val="24"/>
        </w:rPr>
        <w:t>Основні показники фінансово-господарської діяльності підприємства</w:t>
      </w:r>
      <w:r w:rsidRPr="00D36933">
        <w:rPr>
          <w:color w:val="000000"/>
          <w:sz w:val="24"/>
          <w:szCs w:val="24"/>
        </w:rPr>
        <w:t xml:space="preserve"> </w:t>
      </w:r>
      <w:r w:rsidRPr="00D36933">
        <w:rPr>
          <w:i/>
          <w:color w:val="000000"/>
          <w:sz w:val="24"/>
          <w:szCs w:val="24"/>
        </w:rPr>
        <w:t>(тис. грн.)</w:t>
      </w:r>
    </w:p>
    <w:p w:rsidR="00997B39" w:rsidRPr="009E2142" w:rsidRDefault="00997B39" w:rsidP="00997B39">
      <w:pPr>
        <w:pStyle w:val="a4"/>
        <w:ind w:firstLine="851"/>
        <w:jc w:val="left"/>
        <w:rPr>
          <w:sz w:val="24"/>
          <w:szCs w:val="24"/>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2"/>
        <w:gridCol w:w="1620"/>
        <w:gridCol w:w="1620"/>
      </w:tblGrid>
      <w:tr w:rsidR="00997B39" w:rsidRPr="009E2142" w:rsidTr="00D05D97">
        <w:trPr>
          <w:jc w:val="center"/>
        </w:trPr>
        <w:tc>
          <w:tcPr>
            <w:tcW w:w="6502" w:type="dxa"/>
            <w:vMerge w:val="restart"/>
            <w:vAlign w:val="center"/>
          </w:tcPr>
          <w:p w:rsidR="00997B39" w:rsidRPr="009E2142" w:rsidRDefault="00997B39" w:rsidP="00D05D97">
            <w:pPr>
              <w:jc w:val="center"/>
              <w:rPr>
                <w:sz w:val="24"/>
                <w:szCs w:val="24"/>
                <w:lang w:val="uk-UA"/>
              </w:rPr>
            </w:pPr>
            <w:r w:rsidRPr="009E2142">
              <w:rPr>
                <w:sz w:val="24"/>
                <w:szCs w:val="24"/>
                <w:lang w:val="uk-UA"/>
              </w:rPr>
              <w:t>Найменування показника</w:t>
            </w:r>
          </w:p>
        </w:tc>
        <w:tc>
          <w:tcPr>
            <w:tcW w:w="3240" w:type="dxa"/>
            <w:gridSpan w:val="2"/>
          </w:tcPr>
          <w:p w:rsidR="00997B39" w:rsidRPr="009E2142" w:rsidRDefault="00997B39" w:rsidP="00D05D97">
            <w:pPr>
              <w:jc w:val="center"/>
              <w:rPr>
                <w:sz w:val="24"/>
                <w:szCs w:val="24"/>
                <w:lang w:val="uk-UA"/>
              </w:rPr>
            </w:pPr>
            <w:r w:rsidRPr="009E2142">
              <w:rPr>
                <w:sz w:val="24"/>
                <w:szCs w:val="24"/>
                <w:lang w:val="uk-UA"/>
              </w:rPr>
              <w:t>Період</w:t>
            </w:r>
          </w:p>
        </w:tc>
      </w:tr>
      <w:tr w:rsidR="00997B39" w:rsidRPr="009E2142" w:rsidTr="00D05D97">
        <w:trPr>
          <w:jc w:val="center"/>
        </w:trPr>
        <w:tc>
          <w:tcPr>
            <w:tcW w:w="6502" w:type="dxa"/>
            <w:vMerge/>
          </w:tcPr>
          <w:p w:rsidR="00997B39" w:rsidRPr="009E2142" w:rsidRDefault="00997B39" w:rsidP="00D05D97">
            <w:pPr>
              <w:rPr>
                <w:sz w:val="24"/>
                <w:szCs w:val="24"/>
                <w:lang w:val="uk-UA"/>
              </w:rPr>
            </w:pPr>
          </w:p>
        </w:tc>
        <w:tc>
          <w:tcPr>
            <w:tcW w:w="1620" w:type="dxa"/>
          </w:tcPr>
          <w:p w:rsidR="00997B39" w:rsidRPr="009E2142" w:rsidRDefault="00997B39" w:rsidP="00D05D97">
            <w:pPr>
              <w:jc w:val="center"/>
              <w:rPr>
                <w:sz w:val="24"/>
                <w:szCs w:val="24"/>
                <w:lang w:val="uk-UA"/>
              </w:rPr>
            </w:pPr>
            <w:r w:rsidRPr="009E2142">
              <w:rPr>
                <w:sz w:val="24"/>
                <w:szCs w:val="24"/>
                <w:lang w:val="uk-UA"/>
              </w:rPr>
              <w:t>звітний</w:t>
            </w:r>
          </w:p>
          <w:p w:rsidR="00997B39" w:rsidRPr="009E2142" w:rsidRDefault="00997B39" w:rsidP="00D05D97">
            <w:pPr>
              <w:jc w:val="center"/>
              <w:rPr>
                <w:sz w:val="24"/>
                <w:szCs w:val="24"/>
                <w:lang w:val="uk-UA"/>
              </w:rPr>
            </w:pPr>
            <w:r w:rsidRPr="009E2142">
              <w:rPr>
                <w:sz w:val="24"/>
                <w:szCs w:val="24"/>
                <w:lang w:val="uk-UA"/>
              </w:rPr>
              <w:t>2019 рік</w:t>
            </w:r>
          </w:p>
        </w:tc>
        <w:tc>
          <w:tcPr>
            <w:tcW w:w="1620" w:type="dxa"/>
          </w:tcPr>
          <w:p w:rsidR="00997B39" w:rsidRPr="009E2142" w:rsidRDefault="00997B39" w:rsidP="00D05D97">
            <w:pPr>
              <w:jc w:val="center"/>
              <w:rPr>
                <w:sz w:val="24"/>
                <w:szCs w:val="24"/>
                <w:lang w:val="uk-UA"/>
              </w:rPr>
            </w:pPr>
            <w:r w:rsidRPr="009E2142">
              <w:rPr>
                <w:sz w:val="24"/>
                <w:szCs w:val="24"/>
                <w:lang w:val="uk-UA"/>
              </w:rPr>
              <w:t>попередній</w:t>
            </w:r>
          </w:p>
          <w:p w:rsidR="00997B39" w:rsidRPr="009E2142" w:rsidRDefault="00997B39" w:rsidP="00D05D97">
            <w:pPr>
              <w:jc w:val="center"/>
              <w:rPr>
                <w:sz w:val="24"/>
                <w:szCs w:val="24"/>
                <w:lang w:val="uk-UA"/>
              </w:rPr>
            </w:pPr>
            <w:r w:rsidRPr="009E2142">
              <w:rPr>
                <w:sz w:val="24"/>
                <w:szCs w:val="24"/>
                <w:lang w:val="uk-UA"/>
              </w:rPr>
              <w:t>2018 рік</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Усього активів</w:t>
            </w:r>
          </w:p>
        </w:tc>
        <w:tc>
          <w:tcPr>
            <w:tcW w:w="1620" w:type="dxa"/>
          </w:tcPr>
          <w:p w:rsidR="00997B39" w:rsidRPr="009E2142" w:rsidRDefault="00997B39" w:rsidP="00D05D97">
            <w:pPr>
              <w:jc w:val="right"/>
              <w:rPr>
                <w:lang w:val="uk-UA"/>
              </w:rPr>
            </w:pPr>
            <w:r w:rsidRPr="009E2142">
              <w:rPr>
                <w:lang w:val="uk-UA"/>
              </w:rPr>
              <w:t>523.5</w:t>
            </w:r>
          </w:p>
        </w:tc>
        <w:tc>
          <w:tcPr>
            <w:tcW w:w="1620" w:type="dxa"/>
          </w:tcPr>
          <w:p w:rsidR="00997B39" w:rsidRPr="009E2142" w:rsidRDefault="00997B39" w:rsidP="00D05D97">
            <w:pPr>
              <w:jc w:val="right"/>
              <w:rPr>
                <w:lang w:val="uk-UA"/>
              </w:rPr>
            </w:pPr>
            <w:r w:rsidRPr="009E2142">
              <w:rPr>
                <w:lang w:val="uk-UA"/>
              </w:rPr>
              <w:t>574.7</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Основні засоби</w:t>
            </w:r>
            <w:r w:rsidRPr="009E2142">
              <w:t xml:space="preserve">  (</w:t>
            </w:r>
            <w:r w:rsidRPr="009E2142">
              <w:rPr>
                <w:lang w:val="uk-UA"/>
              </w:rPr>
              <w:t>за залишковою вартістю)</w:t>
            </w:r>
          </w:p>
        </w:tc>
        <w:tc>
          <w:tcPr>
            <w:tcW w:w="1620" w:type="dxa"/>
          </w:tcPr>
          <w:p w:rsidR="00997B39" w:rsidRPr="009E2142" w:rsidRDefault="00997B39" w:rsidP="00D05D97">
            <w:pPr>
              <w:jc w:val="right"/>
              <w:rPr>
                <w:lang w:val="uk-UA"/>
              </w:rPr>
            </w:pPr>
            <w:r w:rsidRPr="009E2142">
              <w:rPr>
                <w:lang w:val="uk-UA"/>
              </w:rPr>
              <w:t>382.7</w:t>
            </w:r>
          </w:p>
        </w:tc>
        <w:tc>
          <w:tcPr>
            <w:tcW w:w="1620" w:type="dxa"/>
          </w:tcPr>
          <w:p w:rsidR="00997B39" w:rsidRPr="009E2142" w:rsidRDefault="00997B39" w:rsidP="00D05D97">
            <w:pPr>
              <w:jc w:val="right"/>
              <w:rPr>
                <w:lang w:val="uk-UA"/>
              </w:rPr>
            </w:pPr>
            <w:r w:rsidRPr="009E2142">
              <w:rPr>
                <w:lang w:val="uk-UA"/>
              </w:rPr>
              <w:t>476.2</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Запаси</w:t>
            </w:r>
          </w:p>
        </w:tc>
        <w:tc>
          <w:tcPr>
            <w:tcW w:w="1620" w:type="dxa"/>
          </w:tcPr>
          <w:p w:rsidR="00997B39" w:rsidRPr="009E2142" w:rsidRDefault="00997B39" w:rsidP="00D05D97">
            <w:pPr>
              <w:jc w:val="right"/>
              <w:rPr>
                <w:lang w:val="uk-UA"/>
              </w:rPr>
            </w:pPr>
            <w:r w:rsidRPr="009E2142">
              <w:rPr>
                <w:lang w:val="uk-UA"/>
              </w:rPr>
              <w:t>-</w:t>
            </w:r>
          </w:p>
        </w:tc>
        <w:tc>
          <w:tcPr>
            <w:tcW w:w="1620" w:type="dxa"/>
          </w:tcPr>
          <w:p w:rsidR="00997B39" w:rsidRPr="009E2142" w:rsidRDefault="00997B39" w:rsidP="00D05D97">
            <w:pPr>
              <w:jc w:val="right"/>
              <w:rPr>
                <w:lang w:val="uk-UA"/>
              </w:rPr>
            </w:pPr>
            <w:r w:rsidRPr="009E2142">
              <w:rPr>
                <w:lang w:val="uk-UA"/>
              </w:rPr>
              <w:t>-</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Сумарна дебіторська заборгованість</w:t>
            </w:r>
          </w:p>
        </w:tc>
        <w:tc>
          <w:tcPr>
            <w:tcW w:w="1620" w:type="dxa"/>
          </w:tcPr>
          <w:p w:rsidR="00997B39" w:rsidRPr="009E2142" w:rsidRDefault="00997B39" w:rsidP="00D05D97">
            <w:pPr>
              <w:jc w:val="right"/>
              <w:rPr>
                <w:lang w:val="uk-UA"/>
              </w:rPr>
            </w:pPr>
            <w:r w:rsidRPr="009E2142">
              <w:rPr>
                <w:lang w:val="uk-UA"/>
              </w:rPr>
              <w:t>48.4</w:t>
            </w:r>
          </w:p>
        </w:tc>
        <w:tc>
          <w:tcPr>
            <w:tcW w:w="1620" w:type="dxa"/>
          </w:tcPr>
          <w:p w:rsidR="00997B39" w:rsidRPr="009E2142" w:rsidRDefault="00997B39" w:rsidP="00D05D97">
            <w:pPr>
              <w:jc w:val="right"/>
              <w:rPr>
                <w:lang w:val="uk-UA"/>
              </w:rPr>
            </w:pPr>
            <w:r w:rsidRPr="009E2142">
              <w:rPr>
                <w:lang w:val="uk-UA"/>
              </w:rPr>
              <w:t>32.4</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Гроші та їх еквівалент</w:t>
            </w:r>
          </w:p>
        </w:tc>
        <w:tc>
          <w:tcPr>
            <w:tcW w:w="1620" w:type="dxa"/>
          </w:tcPr>
          <w:p w:rsidR="00997B39" w:rsidRPr="009E2142" w:rsidRDefault="00997B39" w:rsidP="00D05D97">
            <w:pPr>
              <w:jc w:val="right"/>
              <w:rPr>
                <w:lang w:val="uk-UA"/>
              </w:rPr>
            </w:pPr>
            <w:r w:rsidRPr="009E2142">
              <w:rPr>
                <w:lang w:val="uk-UA"/>
              </w:rPr>
              <w:t>38.7</w:t>
            </w:r>
          </w:p>
        </w:tc>
        <w:tc>
          <w:tcPr>
            <w:tcW w:w="1620" w:type="dxa"/>
          </w:tcPr>
          <w:p w:rsidR="00997B39" w:rsidRPr="009E2142" w:rsidRDefault="00997B39" w:rsidP="00D05D97">
            <w:pPr>
              <w:jc w:val="right"/>
              <w:rPr>
                <w:lang w:val="uk-UA"/>
              </w:rPr>
            </w:pPr>
            <w:r w:rsidRPr="009E2142">
              <w:rPr>
                <w:lang w:val="uk-UA"/>
              </w:rPr>
              <w:t>13.1</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Нерозподілений прибуток  (непокритий збиток)</w:t>
            </w:r>
          </w:p>
        </w:tc>
        <w:tc>
          <w:tcPr>
            <w:tcW w:w="1620" w:type="dxa"/>
          </w:tcPr>
          <w:p w:rsidR="00997B39" w:rsidRPr="009E2142" w:rsidRDefault="00997B39" w:rsidP="00D05D97">
            <w:pPr>
              <w:jc w:val="right"/>
              <w:rPr>
                <w:lang w:val="uk-UA"/>
              </w:rPr>
            </w:pPr>
            <w:r w:rsidRPr="009E2142">
              <w:rPr>
                <w:lang w:val="uk-UA"/>
              </w:rPr>
              <w:t>-663,6</w:t>
            </w:r>
          </w:p>
        </w:tc>
        <w:tc>
          <w:tcPr>
            <w:tcW w:w="1620" w:type="dxa"/>
          </w:tcPr>
          <w:p w:rsidR="00997B39" w:rsidRPr="009E2142" w:rsidRDefault="00997B39" w:rsidP="00D05D97">
            <w:pPr>
              <w:jc w:val="right"/>
              <w:rPr>
                <w:lang w:val="uk-UA"/>
              </w:rPr>
            </w:pPr>
            <w:r w:rsidRPr="009E2142">
              <w:t>-</w:t>
            </w:r>
            <w:r w:rsidRPr="009E2142">
              <w:rPr>
                <w:lang w:val="uk-UA"/>
              </w:rPr>
              <w:t>646.7</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Власний капітал</w:t>
            </w:r>
          </w:p>
        </w:tc>
        <w:tc>
          <w:tcPr>
            <w:tcW w:w="1620" w:type="dxa"/>
          </w:tcPr>
          <w:p w:rsidR="00997B39" w:rsidRPr="009E2142" w:rsidRDefault="00997B39" w:rsidP="00D05D97">
            <w:pPr>
              <w:jc w:val="right"/>
              <w:rPr>
                <w:lang w:val="uk-UA"/>
              </w:rPr>
            </w:pPr>
            <w:r w:rsidRPr="009E2142">
              <w:rPr>
                <w:lang w:val="uk-UA"/>
              </w:rPr>
              <w:t>- 197.4</w:t>
            </w:r>
          </w:p>
        </w:tc>
        <w:tc>
          <w:tcPr>
            <w:tcW w:w="1620" w:type="dxa"/>
          </w:tcPr>
          <w:p w:rsidR="00997B39" w:rsidRPr="009E2142" w:rsidRDefault="00997B39" w:rsidP="00D05D97">
            <w:pPr>
              <w:jc w:val="right"/>
              <w:rPr>
                <w:lang w:val="uk-UA"/>
              </w:rPr>
            </w:pPr>
            <w:r w:rsidRPr="009E2142">
              <w:rPr>
                <w:lang w:val="uk-UA"/>
              </w:rPr>
              <w:t>-180.5</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Зареєстрований (пайовий</w:t>
            </w:r>
            <w:r w:rsidRPr="009E2142">
              <w:rPr>
                <w:lang w:val="en-US"/>
              </w:rPr>
              <w:t>/c</w:t>
            </w:r>
            <w:proofErr w:type="spellStart"/>
            <w:r w:rsidRPr="009E2142">
              <w:rPr>
                <w:lang w:val="uk-UA"/>
              </w:rPr>
              <w:t>татутний</w:t>
            </w:r>
            <w:proofErr w:type="spellEnd"/>
            <w:r w:rsidRPr="009E2142">
              <w:rPr>
                <w:lang w:val="en-US"/>
              </w:rPr>
              <w:t>)</w:t>
            </w:r>
            <w:r w:rsidRPr="009E2142">
              <w:rPr>
                <w:lang w:val="uk-UA"/>
              </w:rPr>
              <w:t xml:space="preserve"> капітал</w:t>
            </w:r>
          </w:p>
        </w:tc>
        <w:tc>
          <w:tcPr>
            <w:tcW w:w="1620" w:type="dxa"/>
          </w:tcPr>
          <w:p w:rsidR="00997B39" w:rsidRPr="009E2142" w:rsidRDefault="00997B39" w:rsidP="00D05D97">
            <w:pPr>
              <w:jc w:val="right"/>
              <w:rPr>
                <w:lang w:val="uk-UA"/>
              </w:rPr>
            </w:pPr>
            <w:r w:rsidRPr="009E2142">
              <w:t>466</w:t>
            </w:r>
            <w:r w:rsidRPr="009E2142">
              <w:rPr>
                <w:lang w:val="uk-UA"/>
              </w:rPr>
              <w:t>.2</w:t>
            </w:r>
          </w:p>
        </w:tc>
        <w:tc>
          <w:tcPr>
            <w:tcW w:w="1620" w:type="dxa"/>
          </w:tcPr>
          <w:p w:rsidR="00997B39" w:rsidRPr="009E2142" w:rsidRDefault="00997B39" w:rsidP="00D05D97">
            <w:pPr>
              <w:jc w:val="right"/>
              <w:rPr>
                <w:lang w:val="uk-UA"/>
              </w:rPr>
            </w:pPr>
            <w:r w:rsidRPr="009E2142">
              <w:t>466</w:t>
            </w:r>
            <w:r w:rsidRPr="009E2142">
              <w:rPr>
                <w:lang w:val="uk-UA"/>
              </w:rPr>
              <w:t>.2</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Довгострокові зобов’язання</w:t>
            </w:r>
            <w:r w:rsidRPr="009E2142">
              <w:rPr>
                <w:lang w:val="en-US"/>
              </w:rPr>
              <w:t xml:space="preserve"> і</w:t>
            </w:r>
            <w:r w:rsidRPr="009E2142">
              <w:rPr>
                <w:lang w:val="uk-UA"/>
              </w:rPr>
              <w:t xml:space="preserve"> забезпечення</w:t>
            </w:r>
          </w:p>
        </w:tc>
        <w:tc>
          <w:tcPr>
            <w:tcW w:w="1620" w:type="dxa"/>
          </w:tcPr>
          <w:p w:rsidR="00997B39" w:rsidRPr="009E2142" w:rsidRDefault="00997B39" w:rsidP="00D05D97">
            <w:pPr>
              <w:jc w:val="right"/>
              <w:rPr>
                <w:lang w:val="uk-UA"/>
              </w:rPr>
            </w:pPr>
            <w:r w:rsidRPr="009E2142">
              <w:rPr>
                <w:lang w:val="uk-UA"/>
              </w:rPr>
              <w:t xml:space="preserve">- </w:t>
            </w:r>
          </w:p>
        </w:tc>
        <w:tc>
          <w:tcPr>
            <w:tcW w:w="1620" w:type="dxa"/>
          </w:tcPr>
          <w:p w:rsidR="00997B39" w:rsidRPr="009E2142" w:rsidRDefault="00997B39" w:rsidP="00D05D97">
            <w:pPr>
              <w:jc w:val="right"/>
            </w:pPr>
            <w:r w:rsidRPr="009E2142">
              <w:rPr>
                <w:lang w:val="uk-UA"/>
              </w:rPr>
              <w:t>693.2</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 xml:space="preserve">Поточні зобов’язання </w:t>
            </w:r>
            <w:r w:rsidRPr="009E2142">
              <w:rPr>
                <w:lang w:val="en-US"/>
              </w:rPr>
              <w:t>і</w:t>
            </w:r>
            <w:r w:rsidRPr="009E2142">
              <w:rPr>
                <w:lang w:val="uk-UA"/>
              </w:rPr>
              <w:t xml:space="preserve"> забезпечення</w:t>
            </w:r>
          </w:p>
        </w:tc>
        <w:tc>
          <w:tcPr>
            <w:tcW w:w="1620" w:type="dxa"/>
          </w:tcPr>
          <w:p w:rsidR="00997B39" w:rsidRPr="009E2142" w:rsidRDefault="00997B39" w:rsidP="00D05D97">
            <w:pPr>
              <w:jc w:val="right"/>
              <w:rPr>
                <w:lang w:val="uk-UA"/>
              </w:rPr>
            </w:pPr>
            <w:r w:rsidRPr="009E2142">
              <w:rPr>
                <w:lang w:val="uk-UA"/>
              </w:rPr>
              <w:t>720.9</w:t>
            </w:r>
          </w:p>
        </w:tc>
        <w:tc>
          <w:tcPr>
            <w:tcW w:w="1620" w:type="dxa"/>
          </w:tcPr>
          <w:p w:rsidR="00997B39" w:rsidRPr="009E2142" w:rsidRDefault="00997B39" w:rsidP="00D05D97">
            <w:pPr>
              <w:jc w:val="right"/>
              <w:rPr>
                <w:lang w:val="uk-UA"/>
              </w:rPr>
            </w:pPr>
            <w:r w:rsidRPr="009E2142">
              <w:rPr>
                <w:lang w:val="uk-UA"/>
              </w:rPr>
              <w:t>62.0</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Чистий фінансовий результат: прибуток (збиток)</w:t>
            </w:r>
          </w:p>
        </w:tc>
        <w:tc>
          <w:tcPr>
            <w:tcW w:w="1620" w:type="dxa"/>
          </w:tcPr>
          <w:p w:rsidR="00997B39" w:rsidRPr="009E2142" w:rsidRDefault="00997B39" w:rsidP="00D05D97">
            <w:pPr>
              <w:jc w:val="right"/>
              <w:rPr>
                <w:lang w:val="uk-UA"/>
              </w:rPr>
            </w:pPr>
            <w:r w:rsidRPr="009E2142">
              <w:rPr>
                <w:lang w:val="uk-UA"/>
              </w:rPr>
              <w:t>- 35.7</w:t>
            </w:r>
          </w:p>
        </w:tc>
        <w:tc>
          <w:tcPr>
            <w:tcW w:w="1620" w:type="dxa"/>
          </w:tcPr>
          <w:p w:rsidR="00997B39" w:rsidRPr="009E2142" w:rsidRDefault="00997B39" w:rsidP="00D05D97">
            <w:pPr>
              <w:jc w:val="right"/>
              <w:rPr>
                <w:lang w:val="uk-UA"/>
              </w:rPr>
            </w:pPr>
            <w:r w:rsidRPr="009E2142">
              <w:rPr>
                <w:lang w:val="uk-UA"/>
              </w:rPr>
              <w:t>-138.9</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 xml:space="preserve">Середньорічна кількість акцій </w:t>
            </w:r>
            <w:r w:rsidRPr="009E2142">
              <w:rPr>
                <w:i/>
                <w:lang w:val="uk-UA"/>
              </w:rPr>
              <w:t>(шт.)</w:t>
            </w:r>
          </w:p>
        </w:tc>
        <w:tc>
          <w:tcPr>
            <w:tcW w:w="1620" w:type="dxa"/>
          </w:tcPr>
          <w:p w:rsidR="00997B39" w:rsidRPr="009E2142" w:rsidRDefault="00997B39" w:rsidP="00D05D97">
            <w:pPr>
              <w:jc w:val="right"/>
            </w:pPr>
            <w:r w:rsidRPr="009E2142">
              <w:t>1864600</w:t>
            </w:r>
          </w:p>
        </w:tc>
        <w:tc>
          <w:tcPr>
            <w:tcW w:w="1620" w:type="dxa"/>
          </w:tcPr>
          <w:p w:rsidR="00997B39" w:rsidRPr="009E2142" w:rsidRDefault="00997B39" w:rsidP="00D05D97">
            <w:pPr>
              <w:jc w:val="right"/>
            </w:pPr>
            <w:r w:rsidRPr="009E2142">
              <w:t>186</w:t>
            </w:r>
            <w:r w:rsidRPr="009E2142">
              <w:rPr>
                <w:lang w:val="uk-UA"/>
              </w:rPr>
              <w:t>4</w:t>
            </w:r>
            <w:r w:rsidRPr="009E2142">
              <w:t>600</w:t>
            </w:r>
          </w:p>
        </w:tc>
      </w:tr>
      <w:tr w:rsidR="00997B39" w:rsidRPr="009E2142" w:rsidTr="00D05D97">
        <w:trPr>
          <w:jc w:val="center"/>
        </w:trPr>
        <w:tc>
          <w:tcPr>
            <w:tcW w:w="6502" w:type="dxa"/>
          </w:tcPr>
          <w:p w:rsidR="00997B39" w:rsidRPr="009E2142" w:rsidRDefault="00997B39" w:rsidP="00D05D97">
            <w:pPr>
              <w:rPr>
                <w:lang w:val="uk-UA"/>
              </w:rPr>
            </w:pPr>
            <w:r w:rsidRPr="009E2142">
              <w:rPr>
                <w:lang w:val="uk-UA"/>
              </w:rPr>
              <w:t>Чистий прибуток (збиток) на одну просту акцію (грн)</w:t>
            </w:r>
          </w:p>
        </w:tc>
        <w:tc>
          <w:tcPr>
            <w:tcW w:w="1620" w:type="dxa"/>
          </w:tcPr>
          <w:p w:rsidR="00997B39" w:rsidRPr="009E2142" w:rsidRDefault="00997B39" w:rsidP="00D05D97">
            <w:pPr>
              <w:jc w:val="right"/>
              <w:rPr>
                <w:lang w:val="uk-UA"/>
              </w:rPr>
            </w:pPr>
            <w:r w:rsidRPr="009E2142">
              <w:rPr>
                <w:lang w:val="uk-UA"/>
              </w:rPr>
              <w:t>- 0,019</w:t>
            </w:r>
          </w:p>
        </w:tc>
        <w:tc>
          <w:tcPr>
            <w:tcW w:w="1620" w:type="dxa"/>
          </w:tcPr>
          <w:p w:rsidR="00997B39" w:rsidRPr="009E2142" w:rsidRDefault="00997B39" w:rsidP="00D05D97">
            <w:pPr>
              <w:jc w:val="right"/>
              <w:rPr>
                <w:lang w:val="uk-UA"/>
              </w:rPr>
            </w:pPr>
            <w:r w:rsidRPr="009E2142">
              <w:rPr>
                <w:lang w:val="uk-UA"/>
              </w:rPr>
              <w:t>-0,074</w:t>
            </w:r>
          </w:p>
        </w:tc>
      </w:tr>
    </w:tbl>
    <w:p w:rsidR="00997B39" w:rsidRDefault="00997B39" w:rsidP="00997B39">
      <w:pPr>
        <w:pStyle w:val="a4"/>
        <w:rPr>
          <w:sz w:val="24"/>
          <w:szCs w:val="24"/>
        </w:rPr>
      </w:pPr>
    </w:p>
    <w:p w:rsidR="009C485C" w:rsidRPr="009C485C" w:rsidRDefault="004F2650" w:rsidP="004F2650">
      <w:pPr>
        <w:pStyle w:val="a4"/>
        <w:ind w:firstLine="284"/>
        <w:rPr>
          <w:color w:val="000000" w:themeColor="text1"/>
          <w:sz w:val="24"/>
          <w:szCs w:val="24"/>
          <w:shd w:val="clear" w:color="auto" w:fill="FFFFFF"/>
        </w:rPr>
      </w:pPr>
      <w:r>
        <w:rPr>
          <w:color w:val="333333"/>
          <w:shd w:val="clear" w:color="auto" w:fill="FFFFFF"/>
        </w:rPr>
        <w:t xml:space="preserve"> </w:t>
      </w:r>
      <w:r>
        <w:rPr>
          <w:color w:val="333333"/>
          <w:shd w:val="clear" w:color="auto" w:fill="FFFFFF"/>
        </w:rPr>
        <w:tab/>
      </w:r>
      <w:r w:rsidRPr="004F2650">
        <w:rPr>
          <w:color w:val="333333"/>
          <w:sz w:val="24"/>
          <w:szCs w:val="24"/>
          <w:shd w:val="clear" w:color="auto" w:fill="FFFFFF"/>
        </w:rPr>
        <w:t xml:space="preserve">З метою запобігання поширенню гострої респіраторної хвороби COVID-19, спричиненої </w:t>
      </w:r>
      <w:proofErr w:type="spellStart"/>
      <w:r w:rsidRPr="009C485C">
        <w:rPr>
          <w:color w:val="000000" w:themeColor="text1"/>
          <w:sz w:val="24"/>
          <w:szCs w:val="24"/>
          <w:shd w:val="clear" w:color="auto" w:fill="FFFFFF"/>
        </w:rPr>
        <w:t>коронавірусом</w:t>
      </w:r>
      <w:proofErr w:type="spellEnd"/>
      <w:r w:rsidRPr="009C485C">
        <w:rPr>
          <w:color w:val="000000" w:themeColor="text1"/>
          <w:sz w:val="24"/>
          <w:szCs w:val="24"/>
          <w:shd w:val="clear" w:color="auto" w:fill="FFFFFF"/>
        </w:rPr>
        <w:t xml:space="preserve"> SARS-CoV-2, в день проведення річних загальних зборів </w:t>
      </w:r>
      <w:r w:rsidR="009C485C" w:rsidRPr="009C485C">
        <w:rPr>
          <w:color w:val="000000" w:themeColor="text1"/>
          <w:sz w:val="24"/>
          <w:szCs w:val="24"/>
          <w:shd w:val="clear" w:color="auto" w:fill="FFFFFF"/>
        </w:rPr>
        <w:t xml:space="preserve">Товариства </w:t>
      </w:r>
      <w:r w:rsidRPr="009C485C">
        <w:rPr>
          <w:color w:val="000000" w:themeColor="text1"/>
          <w:sz w:val="24"/>
          <w:szCs w:val="24"/>
          <w:shd w:val="clear" w:color="auto" w:fill="FFFFFF"/>
        </w:rPr>
        <w:t xml:space="preserve">всі присутні повинні бути самостійно забезпечені засобами індивідуального захисту: масками або респіраторами. </w:t>
      </w:r>
      <w:r w:rsidRPr="009C485C">
        <w:rPr>
          <w:color w:val="000000" w:themeColor="text1"/>
          <w:sz w:val="24"/>
          <w:szCs w:val="24"/>
          <w:shd w:val="clear" w:color="auto" w:fill="FFFFFF"/>
        </w:rPr>
        <w:lastRenderedPageBreak/>
        <w:t xml:space="preserve">Під час проведення річних загальних зборів Товариства будуть дотримані всі відповідні вимоги щодо безпеки присутніх </w:t>
      </w:r>
      <w:r w:rsidR="009C485C" w:rsidRPr="009C485C">
        <w:rPr>
          <w:color w:val="000000" w:themeColor="text1"/>
          <w:sz w:val="24"/>
          <w:szCs w:val="24"/>
          <w:shd w:val="clear" w:color="auto" w:fill="FFFFFF"/>
        </w:rPr>
        <w:t xml:space="preserve">осіб </w:t>
      </w:r>
      <w:r w:rsidRPr="009C485C">
        <w:rPr>
          <w:color w:val="000000" w:themeColor="text1"/>
          <w:sz w:val="24"/>
          <w:szCs w:val="24"/>
          <w:shd w:val="clear" w:color="auto" w:fill="FFFFFF"/>
        </w:rPr>
        <w:t>відповідно до вимог</w:t>
      </w:r>
      <w:r w:rsidR="009C485C" w:rsidRPr="009C485C">
        <w:rPr>
          <w:color w:val="000000" w:themeColor="text1"/>
          <w:sz w:val="24"/>
          <w:szCs w:val="24"/>
          <w:shd w:val="clear" w:color="auto" w:fill="FFFFFF"/>
        </w:rPr>
        <w:t xml:space="preserve">, що встановлені для відповідної карантинної зони на час адаптивного карантину в країні. </w:t>
      </w:r>
    </w:p>
    <w:p w:rsidR="004F2650" w:rsidRPr="009C485C" w:rsidRDefault="004F2650" w:rsidP="004F2650">
      <w:pPr>
        <w:pStyle w:val="a4"/>
        <w:ind w:firstLine="284"/>
        <w:rPr>
          <w:color w:val="000000" w:themeColor="text1"/>
          <w:sz w:val="24"/>
          <w:szCs w:val="24"/>
        </w:rPr>
      </w:pPr>
      <w:r w:rsidRPr="009C485C">
        <w:rPr>
          <w:color w:val="000000" w:themeColor="text1"/>
          <w:sz w:val="24"/>
          <w:szCs w:val="24"/>
          <w:shd w:val="clear" w:color="auto" w:fill="FFFFFF"/>
        </w:rPr>
        <w:t xml:space="preserve"> </w:t>
      </w:r>
    </w:p>
    <w:p w:rsidR="00997B39" w:rsidRPr="009C485C" w:rsidRDefault="00997B39" w:rsidP="00997B39">
      <w:pPr>
        <w:pStyle w:val="a4"/>
        <w:ind w:left="284"/>
        <w:jc w:val="right"/>
        <w:rPr>
          <w:color w:val="000000" w:themeColor="text1"/>
          <w:sz w:val="24"/>
          <w:szCs w:val="24"/>
        </w:rPr>
      </w:pPr>
      <w:r w:rsidRPr="009C485C">
        <w:rPr>
          <w:color w:val="000000" w:themeColor="text1"/>
          <w:sz w:val="24"/>
          <w:szCs w:val="24"/>
        </w:rPr>
        <w:t>Наглядова рада ПрАТ "</w:t>
      </w:r>
      <w:r w:rsidRPr="009C485C">
        <w:rPr>
          <w:noProof/>
          <w:color w:val="000000" w:themeColor="text1"/>
          <w:sz w:val="24"/>
          <w:szCs w:val="24"/>
        </w:rPr>
        <w:t>Ніжинська меблева фабрика</w:t>
      </w:r>
      <w:r w:rsidRPr="009C485C">
        <w:rPr>
          <w:color w:val="000000" w:themeColor="text1"/>
          <w:sz w:val="24"/>
          <w:szCs w:val="24"/>
        </w:rPr>
        <w:t>"</w:t>
      </w:r>
    </w:p>
    <w:p w:rsidR="00997B39" w:rsidRPr="009C485C" w:rsidRDefault="00997B39" w:rsidP="00997B39">
      <w:pPr>
        <w:rPr>
          <w:color w:val="000000" w:themeColor="text1"/>
          <w:sz w:val="24"/>
          <w:szCs w:val="24"/>
          <w:lang w:val="uk-UA"/>
        </w:rPr>
      </w:pPr>
    </w:p>
    <w:p w:rsidR="00997B39" w:rsidRPr="009C485C" w:rsidRDefault="00997B39" w:rsidP="00997B39">
      <w:pPr>
        <w:rPr>
          <w:color w:val="000000" w:themeColor="text1"/>
          <w:sz w:val="24"/>
          <w:szCs w:val="24"/>
          <w:lang w:val="uk-UA"/>
        </w:rPr>
      </w:pPr>
    </w:p>
    <w:p w:rsidR="00335AEE" w:rsidRPr="009C485C" w:rsidRDefault="00335AEE" w:rsidP="00997B39">
      <w:pPr>
        <w:rPr>
          <w:color w:val="000000" w:themeColor="text1"/>
          <w:sz w:val="24"/>
          <w:szCs w:val="24"/>
        </w:rPr>
      </w:pPr>
    </w:p>
    <w:sectPr w:rsidR="00335AEE" w:rsidRPr="009C485C" w:rsidSect="00E37270">
      <w:headerReference w:type="even" r:id="rId8"/>
      <w:headerReference w:type="default" r:id="rId9"/>
      <w:pgSz w:w="11909" w:h="16834" w:code="9"/>
      <w:pgMar w:top="720" w:right="720" w:bottom="720" w:left="720" w:header="284" w:footer="284"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B5" w:rsidRDefault="006C27B5">
      <w:r>
        <w:separator/>
      </w:r>
    </w:p>
  </w:endnote>
  <w:endnote w:type="continuationSeparator" w:id="0">
    <w:p w:rsidR="006C27B5" w:rsidRDefault="006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B5" w:rsidRDefault="006C27B5">
      <w:r>
        <w:separator/>
      </w:r>
    </w:p>
  </w:footnote>
  <w:footnote w:type="continuationSeparator" w:id="0">
    <w:p w:rsidR="006C27B5" w:rsidRDefault="006C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70" w:rsidRDefault="009C485C" w:rsidP="00E372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7270" w:rsidRDefault="006C27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70" w:rsidRPr="00BB2E94" w:rsidRDefault="009C485C" w:rsidP="00E37270">
    <w:pPr>
      <w:pStyle w:val="a6"/>
      <w:framePr w:wrap="around" w:vAnchor="text" w:hAnchor="margin" w:xAlign="center" w:y="1"/>
      <w:rPr>
        <w:rStyle w:val="a8"/>
        <w:sz w:val="24"/>
        <w:szCs w:val="24"/>
      </w:rPr>
    </w:pPr>
    <w:r w:rsidRPr="00BB2E94">
      <w:rPr>
        <w:rStyle w:val="a8"/>
        <w:sz w:val="24"/>
        <w:szCs w:val="24"/>
      </w:rPr>
      <w:fldChar w:fldCharType="begin"/>
    </w:r>
    <w:r w:rsidRPr="00BB2E94">
      <w:rPr>
        <w:rStyle w:val="a8"/>
        <w:sz w:val="24"/>
        <w:szCs w:val="24"/>
      </w:rPr>
      <w:instrText xml:space="preserve">PAGE  </w:instrText>
    </w:r>
    <w:r w:rsidRPr="00BB2E94">
      <w:rPr>
        <w:rStyle w:val="a8"/>
        <w:sz w:val="24"/>
        <w:szCs w:val="24"/>
      </w:rPr>
      <w:fldChar w:fldCharType="separate"/>
    </w:r>
    <w:r w:rsidR="00694558">
      <w:rPr>
        <w:rStyle w:val="a8"/>
        <w:noProof/>
        <w:sz w:val="24"/>
        <w:szCs w:val="24"/>
      </w:rPr>
      <w:t>4</w:t>
    </w:r>
    <w:r w:rsidRPr="00BB2E94">
      <w:rPr>
        <w:rStyle w:val="a8"/>
        <w:sz w:val="24"/>
        <w:szCs w:val="24"/>
      </w:rPr>
      <w:fldChar w:fldCharType="end"/>
    </w:r>
  </w:p>
  <w:p w:rsidR="00E37270" w:rsidRDefault="006C27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7E31"/>
    <w:multiLevelType w:val="hybridMultilevel"/>
    <w:tmpl w:val="4FCE0A18"/>
    <w:lvl w:ilvl="0" w:tplc="B68A48E8">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15:restartNumberingAfterBreak="1">
    <w:nsid w:val="1F1E7BE3"/>
    <w:multiLevelType w:val="multilevel"/>
    <w:tmpl w:val="5626877A"/>
    <w:lvl w:ilvl="0">
      <w:start w:val="1"/>
      <w:numFmt w:val="decimal"/>
      <w:lvlText w:val="%1."/>
      <w:lvlJc w:val="left"/>
      <w:pPr>
        <w:ind w:left="900" w:hanging="900"/>
      </w:pPr>
      <w:rPr>
        <w:rFonts w:hint="default"/>
      </w:rPr>
    </w:lvl>
    <w:lvl w:ilvl="1">
      <w:start w:val="1"/>
      <w:numFmt w:val="decimal"/>
      <w:isLgl/>
      <w:lvlText w:val="%1.%2."/>
      <w:lvlJc w:val="left"/>
      <w:pPr>
        <w:ind w:left="1632" w:hanging="360"/>
      </w:pPr>
      <w:rPr>
        <w:rFonts w:hint="default"/>
      </w:rPr>
    </w:lvl>
    <w:lvl w:ilvl="2">
      <w:start w:val="1"/>
      <w:numFmt w:val="decimal"/>
      <w:isLgl/>
      <w:lvlText w:val="%1.%2.%3."/>
      <w:lvlJc w:val="left"/>
      <w:pPr>
        <w:ind w:left="326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72" w:hanging="1440"/>
      </w:pPr>
      <w:rPr>
        <w:rFonts w:hint="default"/>
      </w:rPr>
    </w:lvl>
    <w:lvl w:ilvl="7">
      <w:start w:val="1"/>
      <w:numFmt w:val="decimal"/>
      <w:isLgl/>
      <w:lvlText w:val="%1.%2.%3.%4.%5.%6.%7.%8."/>
      <w:lvlJc w:val="left"/>
      <w:pPr>
        <w:ind w:left="10344" w:hanging="1440"/>
      </w:pPr>
      <w:rPr>
        <w:rFonts w:hint="default"/>
      </w:rPr>
    </w:lvl>
    <w:lvl w:ilvl="8">
      <w:start w:val="1"/>
      <w:numFmt w:val="decimal"/>
      <w:isLgl/>
      <w:lvlText w:val="%1.%2.%3.%4.%5.%6.%7.%8.%9."/>
      <w:lvlJc w:val="left"/>
      <w:pPr>
        <w:ind w:left="1197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39"/>
    <w:rsid w:val="00216AC2"/>
    <w:rsid w:val="00335AEE"/>
    <w:rsid w:val="0039281D"/>
    <w:rsid w:val="00471837"/>
    <w:rsid w:val="004F2650"/>
    <w:rsid w:val="005B1326"/>
    <w:rsid w:val="00694558"/>
    <w:rsid w:val="006C27B5"/>
    <w:rsid w:val="00997B39"/>
    <w:rsid w:val="009C485C"/>
    <w:rsid w:val="00A020D9"/>
    <w:rsid w:val="00E94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C71CE3-CD25-439F-93DF-0E7FAC5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3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7B39"/>
    <w:rPr>
      <w:color w:val="0000FF"/>
      <w:u w:val="single"/>
    </w:rPr>
  </w:style>
  <w:style w:type="paragraph" w:styleId="a4">
    <w:name w:val="Body Text"/>
    <w:basedOn w:val="a"/>
    <w:link w:val="a5"/>
    <w:rsid w:val="00997B39"/>
    <w:pPr>
      <w:widowControl/>
      <w:autoSpaceDE/>
      <w:autoSpaceDN/>
      <w:adjustRightInd/>
      <w:jc w:val="both"/>
    </w:pPr>
    <w:rPr>
      <w:sz w:val="28"/>
      <w:lang w:val="uk-UA"/>
    </w:rPr>
  </w:style>
  <w:style w:type="character" w:customStyle="1" w:styleId="a5">
    <w:name w:val="Основной текст Знак"/>
    <w:basedOn w:val="a0"/>
    <w:link w:val="a4"/>
    <w:rsid w:val="00997B39"/>
    <w:rPr>
      <w:rFonts w:ascii="Times New Roman" w:eastAsia="Times New Roman" w:hAnsi="Times New Roman" w:cs="Times New Roman"/>
      <w:sz w:val="28"/>
      <w:szCs w:val="20"/>
      <w:lang w:eastAsia="ru-RU"/>
    </w:rPr>
  </w:style>
  <w:style w:type="paragraph" w:styleId="a6">
    <w:name w:val="header"/>
    <w:basedOn w:val="a"/>
    <w:link w:val="a7"/>
    <w:rsid w:val="00997B39"/>
    <w:pPr>
      <w:tabs>
        <w:tab w:val="center" w:pos="4677"/>
        <w:tab w:val="right" w:pos="9355"/>
      </w:tabs>
    </w:pPr>
  </w:style>
  <w:style w:type="character" w:customStyle="1" w:styleId="a7">
    <w:name w:val="Верхний колонтитул Знак"/>
    <w:basedOn w:val="a0"/>
    <w:link w:val="a6"/>
    <w:rsid w:val="00997B39"/>
    <w:rPr>
      <w:rFonts w:ascii="Times New Roman" w:eastAsia="Times New Roman" w:hAnsi="Times New Roman" w:cs="Times New Roman"/>
      <w:sz w:val="20"/>
      <w:szCs w:val="20"/>
      <w:lang w:val="ru-RU" w:eastAsia="ru-RU"/>
    </w:rPr>
  </w:style>
  <w:style w:type="character" w:styleId="a8">
    <w:name w:val="page number"/>
    <w:basedOn w:val="a0"/>
    <w:rsid w:val="00997B39"/>
  </w:style>
  <w:style w:type="paragraph" w:styleId="a9">
    <w:name w:val="Normal (Web)"/>
    <w:basedOn w:val="a"/>
    <w:uiPriority w:val="99"/>
    <w:unhideWhenUsed/>
    <w:rsid w:val="00997B39"/>
    <w:pPr>
      <w:widowControl/>
      <w:autoSpaceDE/>
      <w:autoSpaceDN/>
      <w:adjustRightInd/>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izhyn-meb.p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стрілко</dc:creator>
  <cp:keywords/>
  <dc:description/>
  <cp:lastModifiedBy>Пользователь Windows</cp:lastModifiedBy>
  <cp:revision>4</cp:revision>
  <dcterms:created xsi:type="dcterms:W3CDTF">2020-10-05T06:00:00Z</dcterms:created>
  <dcterms:modified xsi:type="dcterms:W3CDTF">2020-10-07T14:07:00Z</dcterms:modified>
</cp:coreProperties>
</file>